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1EE6" w14:textId="77777777" w:rsidR="00957EAD" w:rsidRPr="002A4373" w:rsidRDefault="00957EAD" w:rsidP="002A4373">
      <w:pPr>
        <w:spacing w:after="120" w:line="360" w:lineRule="auto"/>
        <w:jc w:val="center"/>
        <w:rPr>
          <w:rFonts w:ascii="Times New Roman" w:hAnsi="Times New Roman" w:cs="Times New Roman"/>
          <w:b/>
          <w:bCs/>
          <w:sz w:val="24"/>
          <w:szCs w:val="24"/>
          <w:lang w:val="en-US"/>
        </w:rPr>
      </w:pPr>
      <w:r w:rsidRPr="002A4373">
        <w:rPr>
          <w:rFonts w:ascii="Times New Roman" w:hAnsi="Times New Roman" w:cs="Times New Roman"/>
          <w:b/>
          <w:bCs/>
          <w:sz w:val="24"/>
          <w:szCs w:val="24"/>
          <w:lang w:val="en-US"/>
        </w:rPr>
        <w:t>Appeals by Hodson Developments (Ashford) Limited and others</w:t>
      </w:r>
    </w:p>
    <w:p w14:paraId="281B78EB" w14:textId="77777777" w:rsidR="00957EAD" w:rsidRPr="002A4373" w:rsidRDefault="00957EAD" w:rsidP="002A4373">
      <w:pPr>
        <w:spacing w:after="120" w:line="360" w:lineRule="auto"/>
        <w:jc w:val="center"/>
        <w:rPr>
          <w:rFonts w:ascii="Times New Roman" w:hAnsi="Times New Roman" w:cs="Times New Roman"/>
          <w:b/>
          <w:bCs/>
          <w:sz w:val="24"/>
          <w:szCs w:val="24"/>
          <w:lang w:val="en-US"/>
        </w:rPr>
      </w:pPr>
    </w:p>
    <w:p w14:paraId="664F46EF" w14:textId="19F8B43F" w:rsidR="00957EAD" w:rsidRPr="002A4373" w:rsidRDefault="00957EAD" w:rsidP="002A4373">
      <w:pPr>
        <w:spacing w:after="120" w:line="360" w:lineRule="auto"/>
        <w:jc w:val="center"/>
        <w:rPr>
          <w:rFonts w:ascii="Times New Roman" w:hAnsi="Times New Roman" w:cs="Times New Roman"/>
          <w:b/>
          <w:bCs/>
          <w:sz w:val="24"/>
          <w:szCs w:val="24"/>
          <w:lang w:val="en-US"/>
        </w:rPr>
      </w:pPr>
      <w:r w:rsidRPr="002A4373">
        <w:rPr>
          <w:rFonts w:ascii="Times New Roman" w:hAnsi="Times New Roman" w:cs="Times New Roman"/>
          <w:b/>
          <w:bCs/>
          <w:sz w:val="24"/>
          <w:szCs w:val="24"/>
          <w:lang w:val="en-US"/>
        </w:rPr>
        <w:t>Against the non-determination by Ashford Borough Council and Kent County Council of s 106A applications</w:t>
      </w:r>
    </w:p>
    <w:p w14:paraId="0A611A2A" w14:textId="77777777" w:rsidR="00957EAD" w:rsidRPr="002A4373" w:rsidRDefault="00957EAD" w:rsidP="002A4373">
      <w:pPr>
        <w:spacing w:after="120" w:line="360" w:lineRule="auto"/>
        <w:jc w:val="center"/>
        <w:rPr>
          <w:rFonts w:ascii="Times New Roman" w:hAnsi="Times New Roman" w:cs="Times New Roman"/>
          <w:b/>
          <w:bCs/>
          <w:sz w:val="24"/>
          <w:szCs w:val="24"/>
          <w:lang w:val="en-US"/>
        </w:rPr>
      </w:pPr>
    </w:p>
    <w:p w14:paraId="0956AADF" w14:textId="77777777" w:rsidR="00957EAD" w:rsidRPr="002A4373" w:rsidRDefault="00957EAD" w:rsidP="002A4373">
      <w:pPr>
        <w:spacing w:after="120" w:line="360" w:lineRule="auto"/>
        <w:rPr>
          <w:rFonts w:ascii="Times New Roman" w:hAnsi="Times New Roman" w:cs="Times New Roman"/>
          <w:b/>
          <w:bCs/>
          <w:sz w:val="24"/>
          <w:szCs w:val="24"/>
          <w:lang w:val="en-US"/>
        </w:rPr>
      </w:pPr>
    </w:p>
    <w:p w14:paraId="7E484040" w14:textId="1883A7A4" w:rsidR="00957EAD" w:rsidRPr="002A4373" w:rsidRDefault="00957EAD" w:rsidP="002A4373">
      <w:pPr>
        <w:spacing w:after="120" w:line="360" w:lineRule="auto"/>
        <w:jc w:val="center"/>
        <w:rPr>
          <w:rFonts w:ascii="Times New Roman" w:hAnsi="Times New Roman" w:cs="Times New Roman"/>
          <w:b/>
          <w:bCs/>
          <w:sz w:val="24"/>
          <w:szCs w:val="24"/>
          <w:lang w:val="en-US"/>
        </w:rPr>
      </w:pPr>
      <w:r w:rsidRPr="002A4373">
        <w:rPr>
          <w:rFonts w:ascii="Times New Roman" w:hAnsi="Times New Roman" w:cs="Times New Roman"/>
          <w:b/>
          <w:bCs/>
          <w:sz w:val="24"/>
          <w:szCs w:val="24"/>
          <w:lang w:val="en-US"/>
        </w:rPr>
        <w:t>Appellants’ Submissions on whether viability can be relevant to the determination of section 106A applications and section 106B appeals</w:t>
      </w:r>
    </w:p>
    <w:p w14:paraId="34D5C685" w14:textId="77777777" w:rsidR="00957EAD" w:rsidRPr="002A4373" w:rsidRDefault="00957EAD" w:rsidP="002A4373">
      <w:pPr>
        <w:spacing w:after="120" w:line="360" w:lineRule="auto"/>
        <w:jc w:val="center"/>
        <w:rPr>
          <w:rFonts w:ascii="Times New Roman" w:hAnsi="Times New Roman" w:cs="Times New Roman"/>
          <w:b/>
          <w:bCs/>
          <w:sz w:val="24"/>
          <w:szCs w:val="24"/>
          <w:lang w:val="en-US"/>
        </w:rPr>
      </w:pPr>
    </w:p>
    <w:p w14:paraId="553324A5" w14:textId="6C376933" w:rsidR="00957EAD" w:rsidRPr="002A4373" w:rsidRDefault="00957EAD"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2A4373">
        <w:rPr>
          <w:rFonts w:ascii="Times New Roman" w:hAnsi="Times New Roman" w:cs="Times New Roman"/>
          <w:sz w:val="24"/>
          <w:szCs w:val="24"/>
          <w:lang w:val="en-US"/>
        </w:rPr>
        <w:t>These submissions explain why viability may be relevant to the ‘useful purpose’ test in section 106A. It is the response of the Appellants to the ABC Statement of Case para 4.12 to 4.17 and KCC’s Statement of Case para 37 to 51.</w:t>
      </w:r>
    </w:p>
    <w:p w14:paraId="58479B3F" w14:textId="2F9FE904" w:rsidR="009A0FB9" w:rsidRPr="002A4373" w:rsidRDefault="009A0FB9" w:rsidP="00BF63EF">
      <w:pPr>
        <w:pStyle w:val="ListParagraph"/>
        <w:spacing w:after="120" w:line="360" w:lineRule="auto"/>
        <w:ind w:left="709"/>
        <w:contextualSpacing w:val="0"/>
        <w:jc w:val="both"/>
        <w:rPr>
          <w:rFonts w:ascii="Times New Roman" w:hAnsi="Times New Roman" w:cs="Times New Roman"/>
          <w:sz w:val="24"/>
          <w:szCs w:val="24"/>
          <w:lang w:val="en-US"/>
        </w:rPr>
      </w:pPr>
      <w:r w:rsidRPr="002A4373">
        <w:rPr>
          <w:rFonts w:ascii="Times New Roman" w:hAnsi="Times New Roman" w:cs="Times New Roman"/>
          <w:i/>
          <w:iCs/>
          <w:sz w:val="24"/>
          <w:szCs w:val="24"/>
          <w:lang w:val="en-US"/>
        </w:rPr>
        <w:t>The useful purpose test</w:t>
      </w:r>
    </w:p>
    <w:p w14:paraId="199A8FD0" w14:textId="76685FC8" w:rsidR="009A0FB9" w:rsidRPr="002A4373" w:rsidRDefault="009A0FB9" w:rsidP="00BF63EF">
      <w:pPr>
        <w:pStyle w:val="n-Para"/>
        <w:numPr>
          <w:ilvl w:val="0"/>
          <w:numId w:val="1"/>
        </w:numPr>
        <w:spacing w:before="0" w:after="120" w:line="360" w:lineRule="auto"/>
        <w:ind w:left="709" w:hanging="709"/>
        <w:rPr>
          <w:rStyle w:val="italic1"/>
          <w:rFonts w:ascii="Times New Roman" w:hAnsi="Times New Roman"/>
          <w:sz w:val="24"/>
          <w:szCs w:val="24"/>
        </w:rPr>
      </w:pPr>
      <w:r w:rsidRPr="002A4373">
        <w:rPr>
          <w:rStyle w:val="italic1"/>
          <w:rFonts w:ascii="Times New Roman" w:hAnsi="Times New Roman"/>
          <w:i w:val="0"/>
          <w:iCs w:val="0"/>
          <w:color w:val="000000"/>
          <w:sz w:val="24"/>
          <w:szCs w:val="24"/>
        </w:rPr>
        <w:t>On a section 106A application the local planning authority may determine</w:t>
      </w:r>
      <w:r w:rsidRPr="002A4373">
        <w:rPr>
          <w:rStyle w:val="FootnoteReference"/>
          <w:rFonts w:ascii="Times New Roman" w:eastAsia="MS Mincho" w:hAnsi="Times New Roman"/>
          <w:iCs/>
          <w:color w:val="000000"/>
          <w:sz w:val="24"/>
          <w:szCs w:val="24"/>
        </w:rPr>
        <w:footnoteReference w:id="1"/>
      </w:r>
      <w:r w:rsidRPr="002A4373">
        <w:rPr>
          <w:rStyle w:val="italic1"/>
          <w:rFonts w:ascii="Times New Roman" w:hAnsi="Times New Roman"/>
          <w:i w:val="0"/>
          <w:iCs w:val="0"/>
          <w:color w:val="000000"/>
          <w:sz w:val="24"/>
          <w:szCs w:val="24"/>
        </w:rPr>
        <w:t>:</w:t>
      </w:r>
    </w:p>
    <w:p w14:paraId="598BEFEF" w14:textId="589C15EB" w:rsidR="009A0FB9" w:rsidRPr="002A4373" w:rsidRDefault="009A0FB9" w:rsidP="00BF63EF">
      <w:pPr>
        <w:pStyle w:val="n-QuoteList1"/>
        <w:spacing w:before="0" w:after="120" w:line="360" w:lineRule="auto"/>
        <w:ind w:firstLine="0"/>
        <w:rPr>
          <w:sz w:val="24"/>
          <w:szCs w:val="24"/>
        </w:rPr>
      </w:pPr>
      <w:r w:rsidRPr="002A4373">
        <w:rPr>
          <w:rStyle w:val="italic1"/>
          <w:i w:val="0"/>
          <w:iCs w:val="0"/>
          <w:sz w:val="24"/>
          <w:szCs w:val="24"/>
        </w:rPr>
        <w:t>“(a)</w:t>
      </w:r>
      <w:r w:rsidRPr="002A4373">
        <w:rPr>
          <w:sz w:val="24"/>
          <w:szCs w:val="24"/>
        </w:rPr>
        <w:tab/>
      </w:r>
      <w:r w:rsidRPr="002A4373">
        <w:rPr>
          <w:rStyle w:val="italic1"/>
          <w:i w:val="0"/>
          <w:iCs w:val="0"/>
          <w:sz w:val="24"/>
          <w:szCs w:val="24"/>
        </w:rPr>
        <w:t>that the planning obligation shall continue to have effect without modification;</w:t>
      </w:r>
    </w:p>
    <w:p w14:paraId="688087B4" w14:textId="77777777" w:rsidR="009A0FB9" w:rsidRPr="002A4373" w:rsidRDefault="009A0FB9" w:rsidP="00BF63EF">
      <w:pPr>
        <w:pStyle w:val="n-QuoteList1"/>
        <w:spacing w:before="0" w:after="120" w:line="360" w:lineRule="auto"/>
        <w:ind w:firstLine="0"/>
        <w:rPr>
          <w:sz w:val="24"/>
          <w:szCs w:val="24"/>
        </w:rPr>
      </w:pPr>
      <w:r w:rsidRPr="002A4373">
        <w:rPr>
          <w:rStyle w:val="italic1"/>
          <w:i w:val="0"/>
          <w:iCs w:val="0"/>
          <w:sz w:val="24"/>
          <w:szCs w:val="24"/>
        </w:rPr>
        <w:t>(b)</w:t>
      </w:r>
      <w:r w:rsidRPr="002A4373">
        <w:rPr>
          <w:rStyle w:val="italic1"/>
          <w:i w:val="0"/>
          <w:iCs w:val="0"/>
          <w:sz w:val="24"/>
          <w:szCs w:val="24"/>
        </w:rPr>
        <w:tab/>
        <w:t>if the obligation no longer serves a useful purpose, that it shall be discharged; or</w:t>
      </w:r>
    </w:p>
    <w:p w14:paraId="33F9BC76" w14:textId="3949DB42" w:rsidR="009A0FB9" w:rsidRPr="002A4373" w:rsidRDefault="009A0FB9" w:rsidP="00BF63EF">
      <w:pPr>
        <w:pStyle w:val="ListParagraph"/>
        <w:spacing w:after="120" w:line="360" w:lineRule="auto"/>
        <w:ind w:left="1134"/>
        <w:contextualSpacing w:val="0"/>
        <w:jc w:val="both"/>
        <w:rPr>
          <w:rStyle w:val="italic1"/>
          <w:rFonts w:ascii="Times New Roman" w:hAnsi="Times New Roman" w:cs="Times New Roman"/>
          <w:i w:val="0"/>
          <w:iCs w:val="0"/>
          <w:color w:val="000000"/>
          <w:sz w:val="24"/>
          <w:szCs w:val="24"/>
        </w:rPr>
      </w:pPr>
      <w:r w:rsidRPr="002A4373">
        <w:rPr>
          <w:rStyle w:val="italic1"/>
          <w:rFonts w:ascii="Times New Roman" w:hAnsi="Times New Roman" w:cs="Times New Roman"/>
          <w:i w:val="0"/>
          <w:iCs w:val="0"/>
          <w:sz w:val="24"/>
          <w:szCs w:val="24"/>
        </w:rPr>
        <w:t>(c)</w:t>
      </w:r>
      <w:r w:rsidRPr="002A4373">
        <w:rPr>
          <w:rStyle w:val="italic1"/>
          <w:rFonts w:ascii="Times New Roman" w:hAnsi="Times New Roman" w:cs="Times New Roman"/>
          <w:i w:val="0"/>
          <w:iCs w:val="0"/>
          <w:sz w:val="24"/>
          <w:szCs w:val="24"/>
        </w:rPr>
        <w:tab/>
        <w:t>if the obligation continues to serve a useful purpose, but would serve that purpose equally well if it had effect subject to the modifications specified in the application, that it shall</w:t>
      </w:r>
      <w:r w:rsidRPr="002A4373">
        <w:rPr>
          <w:rStyle w:val="italic1"/>
          <w:rFonts w:ascii="Times New Roman" w:hAnsi="Times New Roman" w:cs="Times New Roman"/>
          <w:i w:val="0"/>
          <w:iCs w:val="0"/>
          <w:color w:val="000000"/>
          <w:sz w:val="24"/>
          <w:szCs w:val="24"/>
        </w:rPr>
        <w:t xml:space="preserve"> have effect subject to those modifications.”</w:t>
      </w:r>
    </w:p>
    <w:p w14:paraId="20F2E088" w14:textId="282044F7" w:rsidR="009A0FB9" w:rsidRPr="002A4373" w:rsidRDefault="009A0FB9" w:rsidP="00BF63EF">
      <w:pPr>
        <w:pStyle w:val="ListParagraph"/>
        <w:numPr>
          <w:ilvl w:val="0"/>
          <w:numId w:val="1"/>
        </w:numPr>
        <w:spacing w:after="120" w:line="360" w:lineRule="auto"/>
        <w:ind w:left="709" w:hanging="709"/>
        <w:contextualSpacing w:val="0"/>
        <w:jc w:val="both"/>
        <w:rPr>
          <w:rStyle w:val="italic1"/>
          <w:rFonts w:ascii="Times New Roman" w:hAnsi="Times New Roman" w:cs="Times New Roman"/>
          <w:i w:val="0"/>
          <w:iCs w:val="0"/>
          <w:color w:val="000000"/>
          <w:sz w:val="24"/>
          <w:szCs w:val="24"/>
        </w:rPr>
      </w:pPr>
      <w:r w:rsidRPr="002A4373">
        <w:rPr>
          <w:rStyle w:val="italic1"/>
          <w:rFonts w:ascii="Times New Roman" w:hAnsi="Times New Roman" w:cs="Times New Roman"/>
          <w:i w:val="0"/>
          <w:iCs w:val="0"/>
          <w:color w:val="000000"/>
          <w:sz w:val="24"/>
          <w:szCs w:val="24"/>
        </w:rPr>
        <w:t xml:space="preserve">There is no further statutory elucidation of the test. It has been seen as being wide, with the High Court suggesting that the purpose does not have to be a </w:t>
      </w:r>
      <w:proofErr w:type="spellStart"/>
      <w:r w:rsidRPr="002A4373">
        <w:rPr>
          <w:rStyle w:val="italic1"/>
          <w:rFonts w:ascii="Times New Roman" w:hAnsi="Times New Roman" w:cs="Times New Roman"/>
          <w:i w:val="0"/>
          <w:iCs w:val="0"/>
          <w:color w:val="000000"/>
          <w:sz w:val="24"/>
          <w:szCs w:val="24"/>
        </w:rPr>
        <w:t>landuse</w:t>
      </w:r>
      <w:proofErr w:type="spellEnd"/>
      <w:r w:rsidRPr="002A4373">
        <w:rPr>
          <w:rStyle w:val="italic1"/>
          <w:rFonts w:ascii="Times New Roman" w:hAnsi="Times New Roman" w:cs="Times New Roman"/>
          <w:i w:val="0"/>
          <w:iCs w:val="0"/>
          <w:color w:val="000000"/>
          <w:sz w:val="24"/>
          <w:szCs w:val="24"/>
        </w:rPr>
        <w:t xml:space="preserve"> planning purpose.</w:t>
      </w:r>
      <w:r w:rsidRPr="002A4373">
        <w:rPr>
          <w:rStyle w:val="FootnoteReference"/>
          <w:rFonts w:ascii="Times New Roman" w:hAnsi="Times New Roman"/>
          <w:color w:val="000000"/>
          <w:sz w:val="24"/>
          <w:szCs w:val="24"/>
        </w:rPr>
        <w:footnoteReference w:id="2"/>
      </w:r>
      <w:r w:rsidR="007F4A4A" w:rsidRPr="002A4373">
        <w:rPr>
          <w:rStyle w:val="italic1"/>
          <w:rFonts w:ascii="Times New Roman" w:hAnsi="Times New Roman" w:cs="Times New Roman"/>
          <w:i w:val="0"/>
          <w:iCs w:val="0"/>
          <w:color w:val="000000"/>
          <w:sz w:val="24"/>
          <w:szCs w:val="24"/>
        </w:rPr>
        <w:t xml:space="preserve"> The legislation does not import the legal tests for the determination of planning applications (TCPA s 70(2); PCPA 2004, s 38(6)) or for a planning obligation </w:t>
      </w:r>
      <w:r w:rsidR="007F4A4A" w:rsidRPr="002A4373">
        <w:rPr>
          <w:rStyle w:val="italic1"/>
          <w:rFonts w:ascii="Times New Roman" w:hAnsi="Times New Roman" w:cs="Times New Roman"/>
          <w:i w:val="0"/>
          <w:iCs w:val="0"/>
          <w:color w:val="000000"/>
          <w:sz w:val="24"/>
          <w:szCs w:val="24"/>
        </w:rPr>
        <w:lastRenderedPageBreak/>
        <w:t>being a reason for granting planning permission (Community Infrastructure Levy Regulations 2010, reg 122(1)). That means though that ‘useful purpose’ is not constrained by other legislative approaches.</w:t>
      </w:r>
    </w:p>
    <w:p w14:paraId="37E10E57" w14:textId="373C1977" w:rsidR="009A0FB9" w:rsidRPr="00BF63EF" w:rsidRDefault="009D761D"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t xml:space="preserve">If an obligation </w:t>
      </w:r>
      <w:r w:rsidR="00CF027D" w:rsidRPr="00BF63EF">
        <w:rPr>
          <w:rFonts w:ascii="Times New Roman" w:hAnsi="Times New Roman" w:cs="Times New Roman"/>
          <w:sz w:val="24"/>
          <w:szCs w:val="24"/>
          <w:lang w:val="en-US"/>
        </w:rPr>
        <w:t xml:space="preserve">renders a development incapable of being carried out or completed then the decision maker </w:t>
      </w:r>
      <w:r w:rsidR="00CF027D" w:rsidRPr="00BF63EF">
        <w:rPr>
          <w:rFonts w:ascii="Times New Roman" w:hAnsi="Times New Roman" w:cs="Times New Roman"/>
          <w:i/>
          <w:iCs/>
          <w:sz w:val="24"/>
          <w:szCs w:val="24"/>
          <w:lang w:val="en-US"/>
        </w:rPr>
        <w:t>may</w:t>
      </w:r>
      <w:r w:rsidR="00CF027D" w:rsidRPr="00BF63EF">
        <w:rPr>
          <w:rFonts w:ascii="Times New Roman" w:hAnsi="Times New Roman" w:cs="Times New Roman"/>
          <w:sz w:val="24"/>
          <w:szCs w:val="24"/>
          <w:lang w:val="en-US"/>
        </w:rPr>
        <w:t xml:space="preserve"> conclude that it does not serve a useful purpose.  The decision maker is entitled to take into account not only the benefits of the obligation being carried out, but the consequences of not being possible to do so and the effect that has on other desirable matters, including whether a planning permission can be carried out.  Whether there is a ‘useful purpose’ is to be considered in the round: a payment required by a planning obligation may be used for a beneficial purpose, but if it means the development cannot afford other payments for more important objects then it could be that the requirement is not a useful purpose. If the requirement to make the payment </w:t>
      </w:r>
      <w:r w:rsidR="00DE7D55" w:rsidRPr="00BF63EF">
        <w:rPr>
          <w:rFonts w:ascii="Times New Roman" w:hAnsi="Times New Roman" w:cs="Times New Roman"/>
          <w:sz w:val="24"/>
          <w:szCs w:val="24"/>
          <w:lang w:val="en-US"/>
        </w:rPr>
        <w:t>means that the scheme does not proceed, then it could be said not to serve a useful purpose for two reasons: frustrating the scheme is not useful; and the payment would not be made, so the obligation will fail to achieve its purpose.</w:t>
      </w:r>
    </w:p>
    <w:p w14:paraId="644175D3" w14:textId="1FA3D7A4" w:rsidR="00DE7D55" w:rsidRPr="00BF63EF" w:rsidRDefault="00DE7D55"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t xml:space="preserve">If an obligation (whether alone or in combination with other obligations) means that a scheme is not viable and so will not happen, then the decision maker is entitled to conclude that it does not serve a useful purpose. He is </w:t>
      </w:r>
      <w:r w:rsidR="000E1D6F" w:rsidRPr="00BF63EF">
        <w:rPr>
          <w:rFonts w:ascii="Times New Roman" w:hAnsi="Times New Roman" w:cs="Times New Roman"/>
          <w:sz w:val="24"/>
          <w:szCs w:val="24"/>
          <w:lang w:val="en-US"/>
        </w:rPr>
        <w:t xml:space="preserve">though </w:t>
      </w:r>
      <w:r w:rsidRPr="00BF63EF">
        <w:rPr>
          <w:rFonts w:ascii="Times New Roman" w:hAnsi="Times New Roman" w:cs="Times New Roman"/>
          <w:sz w:val="24"/>
          <w:szCs w:val="24"/>
          <w:lang w:val="en-US"/>
        </w:rPr>
        <w:t>not obliged to do so. It might be that the obligation is considered to be so important that the scheme should not proceed without it.  That though is a matter of judgement.</w:t>
      </w:r>
    </w:p>
    <w:p w14:paraId="1FDF4F19" w14:textId="2E992780" w:rsidR="00DE7D55" w:rsidRPr="00BF63EF" w:rsidRDefault="00DE7D55"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t xml:space="preserve">The viability of a scheme, and the effect of an obligation and other obligations on viability, may </w:t>
      </w:r>
      <w:r w:rsidR="000E1D6F" w:rsidRPr="00BF63EF">
        <w:rPr>
          <w:rFonts w:ascii="Times New Roman" w:hAnsi="Times New Roman" w:cs="Times New Roman"/>
          <w:sz w:val="24"/>
          <w:szCs w:val="24"/>
          <w:lang w:val="en-US"/>
        </w:rPr>
        <w:t xml:space="preserve">therefore </w:t>
      </w:r>
      <w:r w:rsidRPr="00BF63EF">
        <w:rPr>
          <w:rFonts w:ascii="Times New Roman" w:hAnsi="Times New Roman" w:cs="Times New Roman"/>
          <w:sz w:val="24"/>
          <w:szCs w:val="24"/>
          <w:lang w:val="en-US"/>
        </w:rPr>
        <w:t>be relevant to whether an obligation serves a useful purpose</w:t>
      </w:r>
      <w:r w:rsidR="000E1D6F" w:rsidRPr="00BF63EF">
        <w:rPr>
          <w:rFonts w:ascii="Times New Roman" w:hAnsi="Times New Roman" w:cs="Times New Roman"/>
          <w:sz w:val="24"/>
          <w:szCs w:val="24"/>
          <w:lang w:val="en-US"/>
        </w:rPr>
        <w:t>.</w:t>
      </w:r>
    </w:p>
    <w:p w14:paraId="72FC6246" w14:textId="6E69DFD0" w:rsidR="000E1D6F" w:rsidRPr="00BF63EF" w:rsidRDefault="000E1D6F"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t>The Councils’ submissions do not engage with the breadth of ‘useful purpose’ and the proposition that preventing approved development from taking place is not a useful purpose.</w:t>
      </w:r>
    </w:p>
    <w:p w14:paraId="62749B10" w14:textId="02175F09" w:rsidR="00957EAD" w:rsidRPr="002A4373" w:rsidRDefault="000E1D6F" w:rsidP="00BF63EF">
      <w:pPr>
        <w:spacing w:after="120" w:line="360" w:lineRule="auto"/>
        <w:ind w:firstLine="709"/>
        <w:jc w:val="both"/>
        <w:rPr>
          <w:rFonts w:ascii="Times New Roman" w:hAnsi="Times New Roman" w:cs="Times New Roman"/>
          <w:sz w:val="24"/>
          <w:szCs w:val="24"/>
          <w:lang w:val="en-US"/>
        </w:rPr>
      </w:pPr>
      <w:r w:rsidRPr="002A4373">
        <w:rPr>
          <w:rFonts w:ascii="Times New Roman" w:hAnsi="Times New Roman" w:cs="Times New Roman"/>
          <w:i/>
          <w:iCs/>
          <w:sz w:val="24"/>
          <w:szCs w:val="24"/>
          <w:lang w:val="en-US"/>
        </w:rPr>
        <w:t>Viability and the ability to carry out the approved development generally</w:t>
      </w:r>
    </w:p>
    <w:p w14:paraId="4C1DDD56" w14:textId="50486B9A" w:rsidR="000E1D6F" w:rsidRPr="00BF63EF" w:rsidRDefault="000E1D6F"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t xml:space="preserve">The approach above fits neatly into the broader legislative context. </w:t>
      </w:r>
      <w:r w:rsidR="00246EE3" w:rsidRPr="00BF63EF">
        <w:rPr>
          <w:rFonts w:ascii="Times New Roman" w:hAnsi="Times New Roman" w:cs="Times New Roman"/>
          <w:sz w:val="24"/>
          <w:szCs w:val="24"/>
          <w:lang w:val="en-US"/>
        </w:rPr>
        <w:t>Viability</w:t>
      </w:r>
      <w:r w:rsidR="00285D8E" w:rsidRPr="00BF63EF">
        <w:rPr>
          <w:rFonts w:ascii="Times New Roman" w:hAnsi="Times New Roman" w:cs="Times New Roman"/>
          <w:sz w:val="24"/>
          <w:szCs w:val="24"/>
          <w:lang w:val="en-US"/>
        </w:rPr>
        <w:t xml:space="preserve"> is relevant to the terms of any planning conditions or planning obligations whether the scheme could proceed. P</w:t>
      </w:r>
      <w:proofErr w:type="spellStart"/>
      <w:r w:rsidR="00285D8E" w:rsidRPr="00BF63EF">
        <w:rPr>
          <w:rFonts w:ascii="Times New Roman" w:hAnsi="Times New Roman" w:cs="Times New Roman"/>
          <w:sz w:val="24"/>
          <w:szCs w:val="24"/>
        </w:rPr>
        <w:t>lanning</w:t>
      </w:r>
      <w:proofErr w:type="spellEnd"/>
      <w:r w:rsidR="00285D8E" w:rsidRPr="00BF63EF">
        <w:rPr>
          <w:rFonts w:ascii="Times New Roman" w:hAnsi="Times New Roman" w:cs="Times New Roman"/>
          <w:sz w:val="24"/>
          <w:szCs w:val="24"/>
        </w:rPr>
        <w:t xml:space="preserve"> conditions must not nullify the permission granted</w:t>
      </w:r>
      <w:r w:rsidR="00285D8E" w:rsidRPr="002A4373">
        <w:rPr>
          <w:rStyle w:val="FootnoteReference"/>
          <w:rFonts w:ascii="Times New Roman" w:hAnsi="Times New Roman"/>
          <w:sz w:val="24"/>
          <w:szCs w:val="24"/>
        </w:rPr>
        <w:footnoteReference w:id="3"/>
      </w:r>
      <w:r w:rsidR="00285D8E" w:rsidRPr="00BF63EF">
        <w:rPr>
          <w:rFonts w:ascii="Times New Roman" w:hAnsi="Times New Roman" w:cs="Times New Roman"/>
          <w:sz w:val="24"/>
          <w:szCs w:val="24"/>
        </w:rPr>
        <w:t>.</w:t>
      </w:r>
      <w:r w:rsidR="00285D8E" w:rsidRPr="00BF63EF">
        <w:rPr>
          <w:rFonts w:ascii="Times New Roman" w:hAnsi="Times New Roman" w:cs="Times New Roman"/>
          <w:sz w:val="24"/>
          <w:szCs w:val="24"/>
          <w:lang w:val="en-US"/>
        </w:rPr>
        <w:t xml:space="preserve"> It has long been </w:t>
      </w:r>
      <w:proofErr w:type="spellStart"/>
      <w:r w:rsidR="00285D8E" w:rsidRPr="00BF63EF">
        <w:rPr>
          <w:rFonts w:ascii="Times New Roman" w:hAnsi="Times New Roman" w:cs="Times New Roman"/>
          <w:sz w:val="24"/>
          <w:szCs w:val="24"/>
          <w:lang w:val="en-US"/>
        </w:rPr>
        <w:t>recognised</w:t>
      </w:r>
      <w:proofErr w:type="spellEnd"/>
      <w:r w:rsidR="00285D8E" w:rsidRPr="00BF63EF">
        <w:rPr>
          <w:rFonts w:ascii="Times New Roman" w:hAnsi="Times New Roman" w:cs="Times New Roman"/>
          <w:sz w:val="24"/>
          <w:szCs w:val="24"/>
          <w:lang w:val="en-US"/>
        </w:rPr>
        <w:t xml:space="preserve"> that the viability of a scheme may be relevant to a planning </w:t>
      </w:r>
      <w:r w:rsidR="00285D8E" w:rsidRPr="00BF63EF">
        <w:rPr>
          <w:rFonts w:ascii="Times New Roman" w:hAnsi="Times New Roman" w:cs="Times New Roman"/>
          <w:sz w:val="24"/>
          <w:szCs w:val="24"/>
          <w:lang w:val="en-US"/>
        </w:rPr>
        <w:lastRenderedPageBreak/>
        <w:t>determination.</w:t>
      </w:r>
      <w:r w:rsidR="00285D8E" w:rsidRPr="002A4373">
        <w:rPr>
          <w:rStyle w:val="FootnoteReference"/>
          <w:rFonts w:ascii="Times New Roman" w:hAnsi="Times New Roman"/>
          <w:sz w:val="24"/>
          <w:szCs w:val="24"/>
          <w:lang w:val="en-US"/>
        </w:rPr>
        <w:footnoteReference w:id="4"/>
      </w:r>
      <w:r w:rsidR="00285D8E" w:rsidRPr="00BF63EF">
        <w:rPr>
          <w:rFonts w:ascii="Times New Roman" w:hAnsi="Times New Roman" w:cs="Times New Roman"/>
          <w:sz w:val="24"/>
          <w:szCs w:val="24"/>
          <w:lang w:val="en-US"/>
        </w:rPr>
        <w:t xml:space="preserve"> The relevance of financial considerations generally, for example, enabling development, to whether planning permission should be granted </w:t>
      </w:r>
      <w:r w:rsidR="002A4373" w:rsidRPr="00BF63EF">
        <w:rPr>
          <w:rFonts w:ascii="Times New Roman" w:hAnsi="Times New Roman" w:cs="Times New Roman"/>
          <w:sz w:val="24"/>
          <w:szCs w:val="24"/>
          <w:lang w:val="en-US"/>
        </w:rPr>
        <w:t>is long accepted, see for example,</w:t>
      </w:r>
      <w:r w:rsidR="00285D8E" w:rsidRPr="00BF63EF">
        <w:rPr>
          <w:rFonts w:ascii="Times New Roman" w:hAnsi="Times New Roman" w:cs="Times New Roman"/>
          <w:sz w:val="24"/>
          <w:szCs w:val="24"/>
          <w:lang w:val="en-US"/>
        </w:rPr>
        <w:t xml:space="preserve"> </w:t>
      </w:r>
      <w:r w:rsidR="00285D8E" w:rsidRPr="00BF63EF">
        <w:rPr>
          <w:rFonts w:ascii="Times New Roman" w:hAnsi="Times New Roman" w:cs="Times New Roman"/>
          <w:i/>
          <w:iCs/>
          <w:sz w:val="24"/>
          <w:szCs w:val="24"/>
        </w:rPr>
        <w:t>R v Westminster City Council, ex p Monahan</w:t>
      </w:r>
      <w:r w:rsidR="00285D8E" w:rsidRPr="002A4373">
        <w:rPr>
          <w:rStyle w:val="FootnoteReference"/>
          <w:rFonts w:ascii="Times New Roman" w:hAnsi="Times New Roman"/>
          <w:i/>
          <w:iCs/>
          <w:sz w:val="24"/>
          <w:szCs w:val="24"/>
        </w:rPr>
        <w:footnoteReference w:id="5"/>
      </w:r>
      <w:r w:rsidR="00285D8E" w:rsidRPr="00BF63EF">
        <w:rPr>
          <w:rFonts w:ascii="Times New Roman" w:hAnsi="Times New Roman" w:cs="Times New Roman"/>
          <w:sz w:val="24"/>
          <w:szCs w:val="24"/>
        </w:rPr>
        <w:t xml:space="preserve"> (the Royal Opera House case).</w:t>
      </w:r>
    </w:p>
    <w:p w14:paraId="3E877180" w14:textId="4923BCC5" w:rsidR="00957EAD" w:rsidRPr="00BF63EF" w:rsidRDefault="00246EE3"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t>Viability is a component in deciding whether a planning obligation should be required. If an obligation would meet the CIL regulation 122 tests and so be necessary to make a development acceptable, the decision maker can still decide not to require it because the scheme would otherwise be unviable.  There is no justification for viability to be relevant to whether a planning obligation is required in the first place but irrelevant (as a matter of law) when the modification or discharge of the obligation is being considered.</w:t>
      </w:r>
    </w:p>
    <w:p w14:paraId="2C321461" w14:textId="2875A887" w:rsidR="004209ED" w:rsidRPr="002A4373" w:rsidRDefault="004209ED" w:rsidP="00BF63EF">
      <w:pPr>
        <w:spacing w:after="120" w:line="360" w:lineRule="auto"/>
        <w:ind w:firstLine="709"/>
        <w:jc w:val="both"/>
        <w:rPr>
          <w:rFonts w:ascii="Times New Roman" w:hAnsi="Times New Roman" w:cs="Times New Roman"/>
          <w:i/>
          <w:iCs/>
          <w:sz w:val="24"/>
          <w:szCs w:val="24"/>
          <w:lang w:val="en-US"/>
        </w:rPr>
      </w:pPr>
      <w:r w:rsidRPr="002A4373">
        <w:rPr>
          <w:rFonts w:ascii="Times New Roman" w:hAnsi="Times New Roman" w:cs="Times New Roman"/>
          <w:i/>
          <w:iCs/>
          <w:sz w:val="24"/>
          <w:szCs w:val="24"/>
          <w:lang w:val="en-US"/>
        </w:rPr>
        <w:t>The former section 106BA</w:t>
      </w:r>
    </w:p>
    <w:p w14:paraId="73F33445" w14:textId="21A7812D" w:rsidR="00E07A43" w:rsidRPr="00BF63EF" w:rsidRDefault="00285D8E"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t xml:space="preserve">The former section 106BA provisions </w:t>
      </w:r>
      <w:r w:rsidR="00E07A43" w:rsidRPr="00BF63EF">
        <w:rPr>
          <w:rFonts w:ascii="Times New Roman" w:hAnsi="Times New Roman" w:cs="Times New Roman"/>
          <w:sz w:val="24"/>
          <w:szCs w:val="24"/>
          <w:lang w:val="en-US"/>
        </w:rPr>
        <w:t xml:space="preserve">could have little bearing on the meaning of s 106A, since they are no longer part of the law. They could only be relevant if they reflected a </w:t>
      </w:r>
      <w:r w:rsidR="004209ED" w:rsidRPr="00BF63EF">
        <w:rPr>
          <w:rFonts w:ascii="Times New Roman" w:hAnsi="Times New Roman" w:cs="Times New Roman"/>
          <w:sz w:val="24"/>
          <w:szCs w:val="24"/>
          <w:lang w:val="en-US"/>
        </w:rPr>
        <w:t>consensus view</w:t>
      </w:r>
      <w:r w:rsidR="004209ED" w:rsidRPr="002A4373">
        <w:rPr>
          <w:rStyle w:val="FootnoteReference"/>
          <w:rFonts w:ascii="Times New Roman" w:hAnsi="Times New Roman"/>
          <w:sz w:val="24"/>
          <w:szCs w:val="24"/>
          <w:lang w:val="en-US"/>
        </w:rPr>
        <w:footnoteReference w:id="6"/>
      </w:r>
      <w:r w:rsidR="004209ED" w:rsidRPr="00BF63EF">
        <w:rPr>
          <w:rFonts w:ascii="Times New Roman" w:hAnsi="Times New Roman" w:cs="Times New Roman"/>
          <w:sz w:val="24"/>
          <w:szCs w:val="24"/>
          <w:lang w:val="en-US"/>
        </w:rPr>
        <w:t xml:space="preserve"> of</w:t>
      </w:r>
      <w:r w:rsidR="00E07A43" w:rsidRPr="00BF63EF">
        <w:rPr>
          <w:rFonts w:ascii="Times New Roman" w:hAnsi="Times New Roman" w:cs="Times New Roman"/>
          <w:sz w:val="24"/>
          <w:szCs w:val="24"/>
          <w:lang w:val="en-US"/>
        </w:rPr>
        <w:t xml:space="preserve"> s 106A and, for present purposes, consistent with the Councils’ cases.</w:t>
      </w:r>
    </w:p>
    <w:p w14:paraId="5C0AEA9C" w14:textId="544AC0F5" w:rsidR="00285D8E" w:rsidRPr="00BF63EF" w:rsidRDefault="00E07A43"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t>Given the limited caselaw on section 106A and the absence of any caselaw on viability and section 106A, section 106BA was not reflecting a settled understanding of the useful purpose test.</w:t>
      </w:r>
    </w:p>
    <w:p w14:paraId="79CDB44C" w14:textId="5E0458DA" w:rsidR="00E07A43" w:rsidRPr="00BF63EF" w:rsidRDefault="00E07A43"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t>Section 106BA introduced two elements which were quite different to section 106A:</w:t>
      </w:r>
    </w:p>
    <w:p w14:paraId="346BF4A6" w14:textId="3DF395D1" w:rsidR="00E07A43" w:rsidRPr="002A4373" w:rsidRDefault="00E07A43" w:rsidP="00BF63EF">
      <w:pPr>
        <w:pStyle w:val="ListParagraph"/>
        <w:numPr>
          <w:ilvl w:val="0"/>
          <w:numId w:val="2"/>
        </w:numPr>
        <w:spacing w:after="120" w:line="360" w:lineRule="auto"/>
        <w:ind w:left="1418" w:hanging="709"/>
        <w:contextualSpacing w:val="0"/>
        <w:jc w:val="both"/>
        <w:rPr>
          <w:rFonts w:ascii="Times New Roman" w:hAnsi="Times New Roman" w:cs="Times New Roman"/>
          <w:sz w:val="24"/>
          <w:szCs w:val="24"/>
          <w:lang w:val="en-US"/>
        </w:rPr>
      </w:pPr>
      <w:r w:rsidRPr="002A4373">
        <w:rPr>
          <w:rFonts w:ascii="Times New Roman" w:hAnsi="Times New Roman" w:cs="Times New Roman"/>
          <w:sz w:val="24"/>
          <w:szCs w:val="24"/>
          <w:lang w:val="en-US"/>
        </w:rPr>
        <w:t>The absence of any minimum time before an application to amend could be made</w:t>
      </w:r>
      <w:r w:rsidR="004209ED" w:rsidRPr="002A4373">
        <w:rPr>
          <w:rFonts w:ascii="Times New Roman" w:hAnsi="Times New Roman" w:cs="Times New Roman"/>
          <w:sz w:val="24"/>
          <w:szCs w:val="24"/>
          <w:lang w:val="en-US"/>
        </w:rPr>
        <w:t>, rather than the five years under s 106A</w:t>
      </w:r>
      <w:r w:rsidRPr="002A4373">
        <w:rPr>
          <w:rFonts w:ascii="Times New Roman" w:hAnsi="Times New Roman" w:cs="Times New Roman"/>
          <w:sz w:val="24"/>
          <w:szCs w:val="24"/>
          <w:lang w:val="en-US"/>
        </w:rPr>
        <w:t>;</w:t>
      </w:r>
    </w:p>
    <w:p w14:paraId="4CF500EF" w14:textId="1A39CC39" w:rsidR="003C0785" w:rsidRPr="002A4373" w:rsidRDefault="00E07A43" w:rsidP="00BF63EF">
      <w:pPr>
        <w:pStyle w:val="ListParagraph"/>
        <w:numPr>
          <w:ilvl w:val="0"/>
          <w:numId w:val="2"/>
        </w:numPr>
        <w:spacing w:after="120" w:line="360" w:lineRule="auto"/>
        <w:ind w:left="1418" w:hanging="709"/>
        <w:contextualSpacing w:val="0"/>
        <w:jc w:val="both"/>
        <w:rPr>
          <w:rFonts w:ascii="Times New Roman" w:hAnsi="Times New Roman" w:cs="Times New Roman"/>
          <w:sz w:val="24"/>
          <w:szCs w:val="24"/>
          <w:lang w:val="en-US"/>
        </w:rPr>
      </w:pPr>
      <w:r w:rsidRPr="002A4373">
        <w:rPr>
          <w:rFonts w:ascii="Times New Roman" w:hAnsi="Times New Roman" w:cs="Times New Roman"/>
          <w:sz w:val="24"/>
          <w:szCs w:val="24"/>
          <w:lang w:val="en-US"/>
        </w:rPr>
        <w:t xml:space="preserve">The introduction of a statutory test where viability </w:t>
      </w:r>
      <w:r w:rsidRPr="002A4373">
        <w:rPr>
          <w:rFonts w:ascii="Times New Roman" w:hAnsi="Times New Roman" w:cs="Times New Roman"/>
          <w:i/>
          <w:iCs/>
          <w:sz w:val="24"/>
          <w:szCs w:val="24"/>
          <w:lang w:val="en-US"/>
        </w:rPr>
        <w:t xml:space="preserve">had </w:t>
      </w:r>
      <w:r w:rsidRPr="002A4373">
        <w:rPr>
          <w:rFonts w:ascii="Times New Roman" w:hAnsi="Times New Roman" w:cs="Times New Roman"/>
          <w:sz w:val="24"/>
          <w:szCs w:val="24"/>
          <w:lang w:val="en-US"/>
        </w:rPr>
        <w:t>to override affordable housing: ‘</w:t>
      </w:r>
      <w:r w:rsidRPr="002A4373">
        <w:rPr>
          <w:rFonts w:ascii="Times New Roman" w:hAnsi="Times New Roman" w:cs="Times New Roman"/>
          <w:sz w:val="24"/>
          <w:szCs w:val="24"/>
        </w:rPr>
        <w:t>If the affordable housing requirement means that the development is not economically viable, the authority must deal with the application in accordance with subsection (5) so that the development becomes economically viable,’ (s 106BA(3)(a)). That dealing would involve modifying or removing the affordable housing requirement to ensure viability (see s 106BA(5)).</w:t>
      </w:r>
    </w:p>
    <w:p w14:paraId="1CA6CDF7" w14:textId="0CD3CB09" w:rsidR="00E07A43" w:rsidRPr="00EA0629" w:rsidRDefault="003C0785" w:rsidP="00BF63EF">
      <w:pPr>
        <w:pStyle w:val="ListParagraph"/>
        <w:numPr>
          <w:ilvl w:val="0"/>
          <w:numId w:val="1"/>
        </w:numPr>
        <w:spacing w:after="120" w:line="360" w:lineRule="auto"/>
        <w:ind w:left="709" w:hanging="709"/>
        <w:contextualSpacing w:val="0"/>
        <w:jc w:val="both"/>
        <w:rPr>
          <w:rFonts w:ascii="Times New Roman" w:hAnsi="Times New Roman" w:cs="Times New Roman"/>
          <w:sz w:val="24"/>
          <w:szCs w:val="24"/>
          <w:lang w:val="en-US"/>
        </w:rPr>
      </w:pPr>
      <w:r w:rsidRPr="00BF63EF">
        <w:rPr>
          <w:rFonts w:ascii="Times New Roman" w:hAnsi="Times New Roman" w:cs="Times New Roman"/>
          <w:sz w:val="24"/>
          <w:szCs w:val="24"/>
          <w:lang w:val="en-US"/>
        </w:rPr>
        <w:lastRenderedPageBreak/>
        <w:t>Section 106BA therefore required affordable housing obligations to be discharged if the scheme would not be viable with those obligations or any modification of them. In contrast a decision maker applying t</w:t>
      </w:r>
      <w:r w:rsidR="00E07A43" w:rsidRPr="00BF63EF">
        <w:rPr>
          <w:rFonts w:ascii="Times New Roman" w:hAnsi="Times New Roman" w:cs="Times New Roman"/>
          <w:sz w:val="24"/>
          <w:szCs w:val="24"/>
          <w:lang w:val="en-US"/>
        </w:rPr>
        <w:t xml:space="preserve">he ’useful purpose’ test </w:t>
      </w:r>
      <w:r w:rsidR="002A20FB" w:rsidRPr="00BF63EF">
        <w:rPr>
          <w:rFonts w:ascii="Times New Roman" w:hAnsi="Times New Roman" w:cs="Times New Roman"/>
          <w:sz w:val="24"/>
          <w:szCs w:val="24"/>
          <w:lang w:val="en-US"/>
        </w:rPr>
        <w:t xml:space="preserve">may conclude that an obligation is so important to the acceptability of the scheme that it must be retained and so serves a useful purpose, even if it </w:t>
      </w:r>
      <w:r w:rsidR="002A20FB" w:rsidRPr="00EA0629">
        <w:rPr>
          <w:rFonts w:ascii="Times New Roman" w:hAnsi="Times New Roman" w:cs="Times New Roman"/>
          <w:sz w:val="24"/>
          <w:szCs w:val="24"/>
          <w:lang w:val="en-US"/>
        </w:rPr>
        <w:t xml:space="preserve">renders the scheme unviable and so not likely to happen. </w:t>
      </w:r>
    </w:p>
    <w:p w14:paraId="39C5F9E7" w14:textId="2801B78D" w:rsidR="002A4373" w:rsidRPr="00EA0629" w:rsidRDefault="002A4373" w:rsidP="002A4373">
      <w:pPr>
        <w:pStyle w:val="ListParagraph"/>
        <w:spacing w:after="0" w:line="360" w:lineRule="auto"/>
        <w:ind w:left="360"/>
        <w:jc w:val="right"/>
        <w:rPr>
          <w:rFonts w:ascii="Times New Roman" w:hAnsi="Times New Roman" w:cs="Times New Roman"/>
          <w:b/>
          <w:bCs/>
        </w:rPr>
      </w:pPr>
      <w:r w:rsidRPr="00EA0629">
        <w:rPr>
          <w:rFonts w:ascii="Times New Roman" w:hAnsi="Times New Roman" w:cs="Times New Roman"/>
          <w:b/>
          <w:bCs/>
        </w:rPr>
        <w:t>Richard Harwood KC</w:t>
      </w:r>
    </w:p>
    <w:p w14:paraId="7B10F5D2" w14:textId="77777777" w:rsidR="002A4373" w:rsidRPr="00EA0629" w:rsidRDefault="002A4373" w:rsidP="002A4373">
      <w:pPr>
        <w:pStyle w:val="ListParagraph"/>
        <w:spacing w:after="0" w:line="360" w:lineRule="auto"/>
        <w:ind w:left="360"/>
        <w:jc w:val="right"/>
        <w:rPr>
          <w:rFonts w:ascii="Times New Roman" w:hAnsi="Times New Roman" w:cs="Times New Roman"/>
          <w:b/>
          <w:bCs/>
        </w:rPr>
      </w:pPr>
      <w:r w:rsidRPr="00EA0629">
        <w:rPr>
          <w:rFonts w:ascii="Times New Roman" w:hAnsi="Times New Roman" w:cs="Times New Roman"/>
          <w:b/>
          <w:bCs/>
        </w:rPr>
        <w:t>Jonathan Darby</w:t>
      </w:r>
    </w:p>
    <w:p w14:paraId="54B37080" w14:textId="77777777" w:rsidR="002A4373" w:rsidRPr="00EA0629" w:rsidRDefault="002A4373" w:rsidP="002A4373">
      <w:pPr>
        <w:pStyle w:val="ListParagraph"/>
        <w:spacing w:after="0" w:line="360" w:lineRule="auto"/>
        <w:ind w:left="360"/>
        <w:jc w:val="right"/>
        <w:rPr>
          <w:rFonts w:ascii="Times New Roman" w:hAnsi="Times New Roman" w:cs="Times New Roman"/>
          <w:b/>
          <w:bCs/>
        </w:rPr>
      </w:pPr>
      <w:r w:rsidRPr="00EA0629">
        <w:rPr>
          <w:rFonts w:ascii="Times New Roman" w:hAnsi="Times New Roman" w:cs="Times New Roman"/>
          <w:b/>
          <w:bCs/>
        </w:rPr>
        <w:t>39 Essex Chambers, London</w:t>
      </w:r>
    </w:p>
    <w:p w14:paraId="02EFB80B" w14:textId="77777777" w:rsidR="002A4373" w:rsidRPr="00EA0629" w:rsidRDefault="002A4373" w:rsidP="002A4373">
      <w:pPr>
        <w:pStyle w:val="ListParagraph"/>
        <w:spacing w:after="0" w:line="360" w:lineRule="auto"/>
        <w:ind w:left="360"/>
        <w:jc w:val="right"/>
        <w:rPr>
          <w:rFonts w:ascii="Times New Roman" w:hAnsi="Times New Roman" w:cs="Times New Roman"/>
          <w:b/>
          <w:bCs/>
        </w:rPr>
      </w:pPr>
    </w:p>
    <w:p w14:paraId="417433CB" w14:textId="7BE00B4B" w:rsidR="002A4373" w:rsidRPr="00EA0629" w:rsidRDefault="002A4373" w:rsidP="002A4373">
      <w:pPr>
        <w:pStyle w:val="ListParagraph"/>
        <w:spacing w:after="0" w:line="360" w:lineRule="auto"/>
        <w:ind w:left="360"/>
        <w:jc w:val="right"/>
        <w:rPr>
          <w:rFonts w:ascii="Times New Roman" w:hAnsi="Times New Roman" w:cs="Times New Roman"/>
          <w:b/>
          <w:bCs/>
        </w:rPr>
      </w:pPr>
      <w:r w:rsidRPr="00EA0629">
        <w:rPr>
          <w:rFonts w:ascii="Times New Roman" w:hAnsi="Times New Roman" w:cs="Times New Roman"/>
          <w:b/>
          <w:bCs/>
        </w:rPr>
        <w:t>23</w:t>
      </w:r>
      <w:r w:rsidRPr="00EA0629">
        <w:rPr>
          <w:rFonts w:ascii="Times New Roman" w:hAnsi="Times New Roman" w:cs="Times New Roman"/>
          <w:b/>
          <w:bCs/>
          <w:vertAlign w:val="superscript"/>
        </w:rPr>
        <w:t>rd</w:t>
      </w:r>
      <w:r w:rsidRPr="00EA0629">
        <w:rPr>
          <w:rFonts w:ascii="Times New Roman" w:hAnsi="Times New Roman" w:cs="Times New Roman"/>
          <w:b/>
          <w:bCs/>
        </w:rPr>
        <w:t xml:space="preserve"> December 2024</w:t>
      </w:r>
    </w:p>
    <w:p w14:paraId="21F3DCA0" w14:textId="77777777" w:rsidR="002A4373" w:rsidRPr="00EA0629" w:rsidRDefault="002A4373" w:rsidP="002A4373">
      <w:pPr>
        <w:pStyle w:val="ListParagraph"/>
        <w:rPr>
          <w:rFonts w:ascii="Times New Roman" w:hAnsi="Times New Roman" w:cs="Times New Roman"/>
        </w:rPr>
      </w:pPr>
    </w:p>
    <w:p w14:paraId="2363A37E" w14:textId="77777777" w:rsidR="002A4373" w:rsidRPr="00EA0629" w:rsidRDefault="002A4373" w:rsidP="002A4373">
      <w:pPr>
        <w:pStyle w:val="ListParagraph"/>
        <w:spacing w:after="0" w:line="360" w:lineRule="auto"/>
        <w:jc w:val="both"/>
        <w:rPr>
          <w:rFonts w:ascii="Times New Roman" w:hAnsi="Times New Roman" w:cs="Times New Roman"/>
        </w:rPr>
      </w:pPr>
    </w:p>
    <w:p w14:paraId="59ED8C98" w14:textId="77777777" w:rsidR="00755951" w:rsidRPr="00EA0629" w:rsidRDefault="00755951" w:rsidP="002A4373">
      <w:pPr>
        <w:spacing w:after="120" w:line="360" w:lineRule="auto"/>
        <w:rPr>
          <w:rFonts w:ascii="Times New Roman" w:hAnsi="Times New Roman" w:cs="Times New Roman"/>
          <w:sz w:val="24"/>
          <w:szCs w:val="24"/>
        </w:rPr>
      </w:pPr>
    </w:p>
    <w:sectPr w:rsidR="00755951" w:rsidRPr="00EA06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340F" w14:textId="77777777" w:rsidR="001A3866" w:rsidRDefault="001A3866" w:rsidP="009A0FB9">
      <w:pPr>
        <w:spacing w:after="0" w:line="240" w:lineRule="auto"/>
      </w:pPr>
      <w:r>
        <w:separator/>
      </w:r>
    </w:p>
  </w:endnote>
  <w:endnote w:type="continuationSeparator" w:id="0">
    <w:p w14:paraId="3C0630E9" w14:textId="77777777" w:rsidR="001A3866" w:rsidRDefault="001A3866" w:rsidP="009A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212425"/>
      <w:docPartObj>
        <w:docPartGallery w:val="Page Numbers (Bottom of Page)"/>
        <w:docPartUnique/>
      </w:docPartObj>
    </w:sdtPr>
    <w:sdtEndPr>
      <w:rPr>
        <w:noProof/>
      </w:rPr>
    </w:sdtEndPr>
    <w:sdtContent>
      <w:p w14:paraId="22FE6117" w14:textId="12FAE559" w:rsidR="00BF63EF" w:rsidRDefault="00BF63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A0B94E" w14:textId="77777777" w:rsidR="00BF63EF" w:rsidRDefault="00BF6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3DBD" w14:textId="77777777" w:rsidR="001A3866" w:rsidRDefault="001A3866" w:rsidP="009A0FB9">
      <w:pPr>
        <w:spacing w:after="0" w:line="240" w:lineRule="auto"/>
      </w:pPr>
      <w:r>
        <w:separator/>
      </w:r>
    </w:p>
  </w:footnote>
  <w:footnote w:type="continuationSeparator" w:id="0">
    <w:p w14:paraId="4210C31D" w14:textId="77777777" w:rsidR="001A3866" w:rsidRDefault="001A3866" w:rsidP="009A0FB9">
      <w:pPr>
        <w:spacing w:after="0" w:line="240" w:lineRule="auto"/>
      </w:pPr>
      <w:r>
        <w:continuationSeparator/>
      </w:r>
    </w:p>
  </w:footnote>
  <w:footnote w:id="1">
    <w:p w14:paraId="0C2F26B4" w14:textId="77777777" w:rsidR="009A0FB9" w:rsidRPr="003E1C55" w:rsidRDefault="009A0FB9" w:rsidP="009A0FB9">
      <w:pPr>
        <w:pStyle w:val="n-FN"/>
        <w:rPr>
          <w:rFonts w:ascii="Times New Roman" w:hAnsi="Times New Roman" w:cs="Times New Roman"/>
          <w:sz w:val="20"/>
          <w:szCs w:val="20"/>
        </w:rPr>
      </w:pPr>
      <w:r w:rsidRPr="003E1C55">
        <w:rPr>
          <w:rStyle w:val="FootnoteReference"/>
          <w:rFonts w:ascii="Times New Roman" w:hAnsi="Times New Roman"/>
          <w:sz w:val="20"/>
          <w:szCs w:val="20"/>
        </w:rPr>
        <w:footnoteRef/>
      </w:r>
      <w:r w:rsidRPr="003E1C55">
        <w:rPr>
          <w:rFonts w:ascii="Times New Roman" w:hAnsi="Times New Roman" w:cs="Times New Roman"/>
          <w:sz w:val="20"/>
          <w:szCs w:val="20"/>
        </w:rPr>
        <w:tab/>
        <w:t>Town and Country Planning Act 1990, s 106A(6).</w:t>
      </w:r>
    </w:p>
  </w:footnote>
  <w:footnote w:id="2">
    <w:p w14:paraId="7C81B5A8" w14:textId="27B2B506" w:rsidR="009A0FB9" w:rsidRPr="003E1C55" w:rsidRDefault="009A0FB9">
      <w:pPr>
        <w:pStyle w:val="FootnoteText"/>
        <w:rPr>
          <w:rFonts w:ascii="Times New Roman" w:hAnsi="Times New Roman"/>
          <w:i/>
          <w:iCs/>
        </w:rPr>
      </w:pPr>
      <w:r w:rsidRPr="003E1C55">
        <w:rPr>
          <w:rStyle w:val="FootnoteReference"/>
          <w:rFonts w:ascii="Times New Roman" w:hAnsi="Times New Roman"/>
        </w:rPr>
        <w:footnoteRef/>
      </w:r>
      <w:r w:rsidRPr="003E1C55">
        <w:rPr>
          <w:rFonts w:ascii="Times New Roman" w:hAnsi="Times New Roman"/>
        </w:rPr>
        <w:t xml:space="preserve"> See </w:t>
      </w:r>
      <w:r w:rsidRPr="003E1C55">
        <w:rPr>
          <w:rStyle w:val="case"/>
          <w:rFonts w:ascii="Times New Roman" w:hAnsi="Times New Roman"/>
          <w:color w:val="auto"/>
        </w:rPr>
        <w:t>R (on the application of Renaissance Habitat Ltd) v West Berkshire Council</w:t>
      </w:r>
      <w:r w:rsidRPr="003E1C55">
        <w:rPr>
          <w:rFonts w:ascii="Times New Roman" w:hAnsi="Times New Roman"/>
          <w:i/>
        </w:rPr>
        <w:t xml:space="preserve"> </w:t>
      </w:r>
      <w:r w:rsidRPr="003E1C55">
        <w:rPr>
          <w:rFonts w:ascii="Times New Roman" w:hAnsi="Times New Roman"/>
        </w:rPr>
        <w:t xml:space="preserve">[2011] EWHC 242 (Admin), [2011] JPL 1209 per Ouseley J at para 10, 11; </w:t>
      </w:r>
      <w:r w:rsidRPr="003E1C55">
        <w:rPr>
          <w:rFonts w:ascii="Times New Roman" w:hAnsi="Times New Roman"/>
          <w:i/>
        </w:rPr>
        <w:t xml:space="preserve">R (on the application of Mansfield District Council) v Secretary of State for Housing, Communities and Local Government </w:t>
      </w:r>
      <w:r w:rsidRPr="003E1C55">
        <w:rPr>
          <w:rFonts w:ascii="Times New Roman" w:hAnsi="Times New Roman"/>
        </w:rPr>
        <w:t xml:space="preserve">[2018] EWHC 1794 (Admin), [2019] PTSR 540; the view of the Secretary of State in the now-cancelled Circular 05/05 was that </w:t>
      </w:r>
      <w:r w:rsidR="00331AA6" w:rsidRPr="003E1C55">
        <w:rPr>
          <w:rFonts w:ascii="Times New Roman" w:hAnsi="Times New Roman"/>
        </w:rPr>
        <w:t xml:space="preserve">‘the expression "no longer serves any useful purpose" should be understood in </w:t>
      </w:r>
      <w:proofErr w:type="spellStart"/>
      <w:r w:rsidR="00331AA6" w:rsidRPr="003E1C55">
        <w:rPr>
          <w:rFonts w:ascii="Times New Roman" w:hAnsi="Times New Roman"/>
        </w:rPr>
        <w:t>landuse</w:t>
      </w:r>
      <w:proofErr w:type="spellEnd"/>
      <w:r w:rsidR="00331AA6" w:rsidRPr="003E1C55">
        <w:rPr>
          <w:rFonts w:ascii="Times New Roman" w:hAnsi="Times New Roman"/>
        </w:rPr>
        <w:t xml:space="preserve"> planning terms’ (para A20), but that does not need to be resolved in the present submissions.</w:t>
      </w:r>
    </w:p>
  </w:footnote>
  <w:footnote w:id="3">
    <w:p w14:paraId="18BD804F" w14:textId="3C0A45CF" w:rsidR="00285D8E" w:rsidRPr="003E1C55" w:rsidRDefault="00285D8E" w:rsidP="00285D8E">
      <w:pPr>
        <w:pStyle w:val="n-FN"/>
        <w:rPr>
          <w:rFonts w:ascii="Times New Roman" w:hAnsi="Times New Roman" w:cs="Times New Roman"/>
          <w:sz w:val="20"/>
          <w:szCs w:val="20"/>
        </w:rPr>
      </w:pPr>
      <w:r w:rsidRPr="003E1C55">
        <w:rPr>
          <w:rStyle w:val="FootnoteReference"/>
          <w:rFonts w:ascii="Times New Roman" w:hAnsi="Times New Roman"/>
          <w:sz w:val="20"/>
          <w:szCs w:val="20"/>
        </w:rPr>
        <w:footnoteRef/>
      </w:r>
      <w:r w:rsidRPr="003E1C55">
        <w:rPr>
          <w:rFonts w:ascii="Times New Roman" w:hAnsi="Times New Roman" w:cs="Times New Roman"/>
          <w:sz w:val="20"/>
          <w:szCs w:val="20"/>
        </w:rPr>
        <w:tab/>
        <w:t xml:space="preserve">See </w:t>
      </w:r>
      <w:r w:rsidRPr="003E1C55">
        <w:rPr>
          <w:rStyle w:val="case"/>
          <w:rFonts w:ascii="Times New Roman" w:hAnsi="Times New Roman" w:cs="Times New Roman"/>
          <w:color w:val="auto"/>
          <w:sz w:val="20"/>
          <w:szCs w:val="20"/>
        </w:rPr>
        <w:t>Kent County Council v Secretary of State for the Environment</w:t>
      </w:r>
      <w:r w:rsidRPr="003E1C55">
        <w:rPr>
          <w:rFonts w:ascii="Times New Roman" w:hAnsi="Times New Roman" w:cs="Times New Roman"/>
          <w:sz w:val="20"/>
          <w:szCs w:val="20"/>
        </w:rPr>
        <w:t xml:space="preserve"> (1977) 33 P &amp; CR 70.</w:t>
      </w:r>
    </w:p>
  </w:footnote>
  <w:footnote w:id="4">
    <w:p w14:paraId="2042A60E" w14:textId="07382ED8" w:rsidR="00285D8E" w:rsidRPr="004209ED" w:rsidRDefault="00285D8E" w:rsidP="00285D8E">
      <w:pPr>
        <w:pStyle w:val="FootnoteText"/>
        <w:tabs>
          <w:tab w:val="left" w:pos="1200"/>
        </w:tabs>
        <w:rPr>
          <w:rFonts w:ascii="Times New Roman" w:hAnsi="Times New Roman"/>
        </w:rPr>
      </w:pPr>
      <w:r w:rsidRPr="004209ED">
        <w:rPr>
          <w:rStyle w:val="FootnoteReference"/>
          <w:rFonts w:ascii="Times New Roman" w:hAnsi="Times New Roman"/>
        </w:rPr>
        <w:footnoteRef/>
      </w:r>
      <w:r w:rsidRPr="004209ED">
        <w:rPr>
          <w:rFonts w:ascii="Times New Roman" w:hAnsi="Times New Roman"/>
        </w:rPr>
        <w:t xml:space="preserve"> See </w:t>
      </w:r>
      <w:proofErr w:type="spellStart"/>
      <w:r w:rsidRPr="004209ED">
        <w:rPr>
          <w:rFonts w:ascii="Times New Roman" w:hAnsi="Times New Roman"/>
          <w:i/>
          <w:iCs/>
        </w:rPr>
        <w:t>Sosmo</w:t>
      </w:r>
      <w:proofErr w:type="spellEnd"/>
      <w:r w:rsidRPr="004209ED">
        <w:rPr>
          <w:rFonts w:ascii="Times New Roman" w:hAnsi="Times New Roman"/>
          <w:i/>
          <w:iCs/>
        </w:rPr>
        <w:t xml:space="preserve"> Trust v Secretary of State for the Environment </w:t>
      </w:r>
      <w:r w:rsidRPr="004209ED">
        <w:rPr>
          <w:rFonts w:ascii="Times New Roman" w:hAnsi="Times New Roman"/>
        </w:rPr>
        <w:t>[1983] JPL 806.</w:t>
      </w:r>
    </w:p>
  </w:footnote>
  <w:footnote w:id="5">
    <w:p w14:paraId="3F272335" w14:textId="354B57C5" w:rsidR="00285D8E" w:rsidRPr="004209ED" w:rsidRDefault="00285D8E">
      <w:pPr>
        <w:pStyle w:val="FootnoteText"/>
        <w:rPr>
          <w:rFonts w:ascii="Times New Roman" w:hAnsi="Times New Roman"/>
        </w:rPr>
      </w:pPr>
      <w:r w:rsidRPr="004209ED">
        <w:rPr>
          <w:rStyle w:val="FootnoteReference"/>
          <w:rFonts w:ascii="Times New Roman" w:hAnsi="Times New Roman"/>
        </w:rPr>
        <w:footnoteRef/>
      </w:r>
      <w:r w:rsidRPr="004209ED">
        <w:rPr>
          <w:rFonts w:ascii="Times New Roman" w:hAnsi="Times New Roman"/>
        </w:rPr>
        <w:t xml:space="preserve"> [19</w:t>
      </w:r>
      <w:r w:rsidR="00007073">
        <w:rPr>
          <w:rFonts w:ascii="Times New Roman" w:hAnsi="Times New Roman"/>
        </w:rPr>
        <w:t>90</w:t>
      </w:r>
      <w:r w:rsidRPr="004209ED">
        <w:rPr>
          <w:rFonts w:ascii="Times New Roman" w:hAnsi="Times New Roman"/>
        </w:rPr>
        <w:t xml:space="preserve">] </w:t>
      </w:r>
      <w:r w:rsidR="00007073">
        <w:rPr>
          <w:rFonts w:ascii="Times New Roman" w:hAnsi="Times New Roman"/>
        </w:rPr>
        <w:t>1 QB 87</w:t>
      </w:r>
      <w:r w:rsidRPr="004209ED">
        <w:rPr>
          <w:rFonts w:ascii="Times New Roman" w:hAnsi="Times New Roman"/>
        </w:rPr>
        <w:t>.</w:t>
      </w:r>
    </w:p>
  </w:footnote>
  <w:footnote w:id="6">
    <w:p w14:paraId="43DC3F9D" w14:textId="23803B76" w:rsidR="004209ED" w:rsidRDefault="004209ED">
      <w:pPr>
        <w:pStyle w:val="FootnoteText"/>
      </w:pPr>
      <w:r w:rsidRPr="004209ED">
        <w:rPr>
          <w:rStyle w:val="FootnoteReference"/>
          <w:rFonts w:ascii="Times New Roman" w:hAnsi="Times New Roman"/>
        </w:rPr>
        <w:footnoteRef/>
      </w:r>
      <w:r w:rsidRPr="004209ED">
        <w:rPr>
          <w:rFonts w:ascii="Times New Roman" w:hAnsi="Times New Roman"/>
        </w:rPr>
        <w:t xml:space="preserve"> See </w:t>
      </w:r>
      <w:r w:rsidRPr="004209ED">
        <w:rPr>
          <w:rFonts w:ascii="Times New Roman" w:hAnsi="Times New Roman"/>
          <w:i/>
          <w:iCs/>
        </w:rPr>
        <w:t>R(Hertfordshire County Council) v Secretary of State for Housing, Communities and Local Government (No 1)</w:t>
      </w:r>
      <w:r w:rsidRPr="004209ED">
        <w:rPr>
          <w:rFonts w:ascii="Times New Roman" w:hAnsi="Times New Roman"/>
        </w:rPr>
        <w:t xml:space="preserve"> [2021] EWHC 1093 (Admin)</w:t>
      </w:r>
      <w:r>
        <w:rPr>
          <w:rFonts w:ascii="Times New Roman" w:hAnsi="Times New Roman"/>
        </w:rPr>
        <w:t xml:space="preserve"> </w:t>
      </w:r>
      <w:r w:rsidRPr="004209ED">
        <w:rPr>
          <w:rFonts w:ascii="Times New Roman" w:hAnsi="Times New Roman"/>
        </w:rPr>
        <w:t xml:space="preserve">[2021] 1 WLR 3714 </w:t>
      </w:r>
      <w:r>
        <w:rPr>
          <w:rFonts w:ascii="Times New Roman" w:hAnsi="Times New Roman"/>
        </w:rPr>
        <w:t xml:space="preserve">at para 88 </w:t>
      </w:r>
      <w:r w:rsidRPr="004209ED">
        <w:rPr>
          <w:rFonts w:ascii="Times New Roman" w:hAnsi="Times New Roman"/>
        </w:rPr>
        <w:t>(on remote attendance at council meetings).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7295"/>
    <w:multiLevelType w:val="hybridMultilevel"/>
    <w:tmpl w:val="B6F09ECE"/>
    <w:lvl w:ilvl="0" w:tplc="DB165F14">
      <w:start w:val="1"/>
      <w:numFmt w:val="decimal"/>
      <w:lvlText w:val="%1."/>
      <w:lvlJc w:val="left"/>
      <w:pPr>
        <w:ind w:left="360" w:hanging="360"/>
      </w:pPr>
      <w:rPr>
        <w:rFonts w:hint="default"/>
        <w:i w:val="0"/>
        <w:i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B60A31"/>
    <w:multiLevelType w:val="hybridMultilevel"/>
    <w:tmpl w:val="6B4CC51A"/>
    <w:lvl w:ilvl="0" w:tplc="6BF4EA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BC6F3F"/>
    <w:multiLevelType w:val="hybridMultilevel"/>
    <w:tmpl w:val="4AEE1290"/>
    <w:lvl w:ilvl="0" w:tplc="6BF4EA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4F7127"/>
    <w:multiLevelType w:val="hybridMultilevel"/>
    <w:tmpl w:val="E3B2E1E2"/>
    <w:lvl w:ilvl="0" w:tplc="6BF4EA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7C2A47"/>
    <w:multiLevelType w:val="hybridMultilevel"/>
    <w:tmpl w:val="4C2EF4A8"/>
    <w:lvl w:ilvl="0" w:tplc="DB165F14">
      <w:start w:val="1"/>
      <w:numFmt w:val="decimal"/>
      <w:lvlText w:val="%1."/>
      <w:lvlJc w:val="left"/>
      <w:pPr>
        <w:ind w:left="36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410726">
    <w:abstractNumId w:val="0"/>
  </w:num>
  <w:num w:numId="2" w16cid:durableId="588780235">
    <w:abstractNumId w:val="3"/>
  </w:num>
  <w:num w:numId="3" w16cid:durableId="1771120227">
    <w:abstractNumId w:val="2"/>
  </w:num>
  <w:num w:numId="4" w16cid:durableId="1679699163">
    <w:abstractNumId w:val="4"/>
  </w:num>
  <w:num w:numId="5" w16cid:durableId="1876766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AD"/>
    <w:rsid w:val="00007073"/>
    <w:rsid w:val="000514A1"/>
    <w:rsid w:val="000E1D6F"/>
    <w:rsid w:val="001A3866"/>
    <w:rsid w:val="00246EE3"/>
    <w:rsid w:val="00285D8E"/>
    <w:rsid w:val="002A20FB"/>
    <w:rsid w:val="002A4373"/>
    <w:rsid w:val="00331AA6"/>
    <w:rsid w:val="003C0785"/>
    <w:rsid w:val="003E1C55"/>
    <w:rsid w:val="004209ED"/>
    <w:rsid w:val="004914E8"/>
    <w:rsid w:val="006E1149"/>
    <w:rsid w:val="007443E7"/>
    <w:rsid w:val="00755951"/>
    <w:rsid w:val="007F4A4A"/>
    <w:rsid w:val="00957EAD"/>
    <w:rsid w:val="009A0FB9"/>
    <w:rsid w:val="009A2FE9"/>
    <w:rsid w:val="009D761D"/>
    <w:rsid w:val="00BF63EF"/>
    <w:rsid w:val="00CF027D"/>
    <w:rsid w:val="00DE7D55"/>
    <w:rsid w:val="00E07A43"/>
    <w:rsid w:val="00EA0629"/>
    <w:rsid w:val="00F83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8AD8"/>
  <w15:chartTrackingRefBased/>
  <w15:docId w15:val="{BA1EB686-36B7-4DDB-9A73-FEC7FDB3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EAD"/>
  </w:style>
  <w:style w:type="paragraph" w:styleId="Heading1">
    <w:name w:val="heading 1"/>
    <w:basedOn w:val="Normal"/>
    <w:next w:val="Normal"/>
    <w:link w:val="Heading1Char"/>
    <w:uiPriority w:val="9"/>
    <w:qFormat/>
    <w:rsid w:val="004209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EAD"/>
    <w:pPr>
      <w:ind w:left="720"/>
      <w:contextualSpacing/>
    </w:pPr>
  </w:style>
  <w:style w:type="paragraph" w:styleId="FootnoteText">
    <w:name w:val="footnote text"/>
    <w:basedOn w:val="Normal"/>
    <w:link w:val="FootnoteTextChar"/>
    <w:uiPriority w:val="99"/>
    <w:semiHidden/>
    <w:rsid w:val="009A0FB9"/>
    <w:pPr>
      <w:spacing w:after="0" w:line="240" w:lineRule="auto"/>
    </w:pPr>
    <w:rPr>
      <w:rFonts w:ascii="Georgia" w:eastAsia="MS Mincho" w:hAnsi="Georgia"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9A0FB9"/>
    <w:rPr>
      <w:rFonts w:ascii="Georgia" w:eastAsia="MS Mincho" w:hAnsi="Georgia" w:cs="Times New Roman"/>
      <w:kern w:val="0"/>
      <w:sz w:val="20"/>
      <w:szCs w:val="20"/>
      <w:lang w:eastAsia="en-GB"/>
      <w14:ligatures w14:val="none"/>
    </w:rPr>
  </w:style>
  <w:style w:type="character" w:styleId="FootnoteReference">
    <w:name w:val="footnote reference"/>
    <w:uiPriority w:val="99"/>
    <w:semiHidden/>
    <w:rsid w:val="009A0FB9"/>
    <w:rPr>
      <w:rFonts w:cs="Times New Roman"/>
      <w:vertAlign w:val="superscript"/>
    </w:rPr>
  </w:style>
  <w:style w:type="character" w:customStyle="1" w:styleId="italic1">
    <w:name w:val="italic1"/>
    <w:rsid w:val="009A0FB9"/>
    <w:rPr>
      <w:i/>
      <w:iCs/>
    </w:rPr>
  </w:style>
  <w:style w:type="paragraph" w:customStyle="1" w:styleId="n-FN">
    <w:name w:val="n-FN"/>
    <w:rsid w:val="009A0FB9"/>
    <w:pPr>
      <w:autoSpaceDE w:val="0"/>
      <w:autoSpaceDN w:val="0"/>
      <w:spacing w:after="0" w:line="240" w:lineRule="auto"/>
      <w:ind w:left="284" w:hanging="284"/>
      <w:jc w:val="both"/>
    </w:pPr>
    <w:rPr>
      <w:rFonts w:ascii="Arial" w:eastAsia="MS Mincho" w:hAnsi="Arial" w:cs="Arial"/>
      <w:kern w:val="0"/>
      <w:sz w:val="16"/>
      <w:szCs w:val="16"/>
      <w:lang w:eastAsia="en-IE"/>
      <w14:ligatures w14:val="none"/>
    </w:rPr>
  </w:style>
  <w:style w:type="paragraph" w:customStyle="1" w:styleId="n-Para">
    <w:name w:val="n-Para"/>
    <w:link w:val="n-ParaChar"/>
    <w:rsid w:val="009A0FB9"/>
    <w:pPr>
      <w:tabs>
        <w:tab w:val="left" w:pos="567"/>
      </w:tabs>
      <w:spacing w:before="120" w:after="0" w:line="240" w:lineRule="auto"/>
    </w:pPr>
    <w:rPr>
      <w:rFonts w:ascii="Arial" w:eastAsia="Times New Roman" w:hAnsi="Arial" w:cs="Times New Roman"/>
      <w:kern w:val="0"/>
      <w:sz w:val="20"/>
      <w:szCs w:val="20"/>
      <w14:ligatures w14:val="none"/>
    </w:rPr>
  </w:style>
  <w:style w:type="character" w:customStyle="1" w:styleId="n-ParaChar">
    <w:name w:val="n-Para Char"/>
    <w:link w:val="n-Para"/>
    <w:locked/>
    <w:rsid w:val="009A0FB9"/>
    <w:rPr>
      <w:rFonts w:ascii="Arial" w:eastAsia="Times New Roman" w:hAnsi="Arial" w:cs="Times New Roman"/>
      <w:kern w:val="0"/>
      <w:sz w:val="20"/>
      <w:szCs w:val="20"/>
      <w14:ligatures w14:val="none"/>
    </w:rPr>
  </w:style>
  <w:style w:type="paragraph" w:customStyle="1" w:styleId="n-QuoteList1">
    <w:name w:val="n-QuoteList1"/>
    <w:rsid w:val="009A0FB9"/>
    <w:pPr>
      <w:tabs>
        <w:tab w:val="left" w:pos="1134"/>
      </w:tabs>
      <w:spacing w:before="60" w:after="0" w:line="240" w:lineRule="auto"/>
      <w:ind w:left="1134" w:hanging="567"/>
    </w:pPr>
    <w:rPr>
      <w:rFonts w:ascii="Times New Roman" w:eastAsia="MS Mincho" w:hAnsi="Times New Roman" w:cs="Times New Roman"/>
      <w:kern w:val="0"/>
      <w:szCs w:val="20"/>
      <w14:ligatures w14:val="none"/>
    </w:rPr>
  </w:style>
  <w:style w:type="character" w:customStyle="1" w:styleId="case">
    <w:name w:val="*case"/>
    <w:rsid w:val="009A0FB9"/>
    <w:rPr>
      <w:i/>
      <w:color w:val="0000FF"/>
      <w:shd w:val="clear" w:color="auto" w:fill="auto"/>
      <w:lang w:val="en-GB" w:eastAsia="x-none"/>
    </w:rPr>
  </w:style>
  <w:style w:type="character" w:customStyle="1" w:styleId="Heading1Char">
    <w:name w:val="Heading 1 Char"/>
    <w:basedOn w:val="DefaultParagraphFont"/>
    <w:link w:val="Heading1"/>
    <w:uiPriority w:val="9"/>
    <w:rsid w:val="004209E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F6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3EF"/>
  </w:style>
  <w:style w:type="paragraph" w:styleId="Footer">
    <w:name w:val="footer"/>
    <w:basedOn w:val="Normal"/>
    <w:link w:val="FooterChar"/>
    <w:uiPriority w:val="99"/>
    <w:unhideWhenUsed/>
    <w:rsid w:val="00BF6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846">
      <w:bodyDiv w:val="1"/>
      <w:marLeft w:val="0"/>
      <w:marRight w:val="0"/>
      <w:marTop w:val="0"/>
      <w:marBottom w:val="0"/>
      <w:divBdr>
        <w:top w:val="none" w:sz="0" w:space="0" w:color="auto"/>
        <w:left w:val="none" w:sz="0" w:space="0" w:color="auto"/>
        <w:bottom w:val="none" w:sz="0" w:space="0" w:color="auto"/>
        <w:right w:val="none" w:sz="0" w:space="0" w:color="auto"/>
      </w:divBdr>
    </w:div>
    <w:div w:id="486946319">
      <w:bodyDiv w:val="1"/>
      <w:marLeft w:val="0"/>
      <w:marRight w:val="0"/>
      <w:marTop w:val="0"/>
      <w:marBottom w:val="0"/>
      <w:divBdr>
        <w:top w:val="none" w:sz="0" w:space="0" w:color="auto"/>
        <w:left w:val="none" w:sz="0" w:space="0" w:color="auto"/>
        <w:bottom w:val="none" w:sz="0" w:space="0" w:color="auto"/>
        <w:right w:val="none" w:sz="0" w:space="0" w:color="auto"/>
      </w:divBdr>
    </w:div>
    <w:div w:id="1518036476">
      <w:bodyDiv w:val="1"/>
      <w:marLeft w:val="0"/>
      <w:marRight w:val="0"/>
      <w:marTop w:val="0"/>
      <w:marBottom w:val="0"/>
      <w:divBdr>
        <w:top w:val="none" w:sz="0" w:space="0" w:color="auto"/>
        <w:left w:val="none" w:sz="0" w:space="0" w:color="auto"/>
        <w:bottom w:val="none" w:sz="0" w:space="0" w:color="auto"/>
        <w:right w:val="none" w:sz="0" w:space="0" w:color="auto"/>
      </w:divBdr>
    </w:div>
    <w:div w:id="201787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2DD33-E6DC-4BF6-880D-FFDA9B1E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Harwood</dc:creator>
  <cp:keywords/>
  <dc:description/>
  <cp:lastModifiedBy>Richard Harwood</cp:lastModifiedBy>
  <cp:revision>12</cp:revision>
  <dcterms:created xsi:type="dcterms:W3CDTF">2024-12-21T14:18:00Z</dcterms:created>
  <dcterms:modified xsi:type="dcterms:W3CDTF">2024-12-23T12:48:00Z</dcterms:modified>
</cp:coreProperties>
</file>