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A654" w14:textId="06E626EF" w:rsidR="008A4622" w:rsidRDefault="00C15361">
      <w:r>
        <w:rPr>
          <w:b/>
          <w:bCs/>
        </w:rPr>
        <w:t xml:space="preserve">Chilmington Green S106B </w:t>
      </w:r>
      <w:proofErr w:type="gramStart"/>
      <w:r>
        <w:rPr>
          <w:b/>
          <w:bCs/>
        </w:rPr>
        <w:t>Appeals :</w:t>
      </w:r>
      <w:proofErr w:type="gramEnd"/>
      <w:r>
        <w:rPr>
          <w:b/>
          <w:bCs/>
        </w:rPr>
        <w:t xml:space="preserve"> </w:t>
      </w:r>
      <w:r w:rsidRPr="00C15361">
        <w:rPr>
          <w:b/>
          <w:bCs/>
        </w:rPr>
        <w:t xml:space="preserve">Appellants’ Responses </w:t>
      </w:r>
      <w:proofErr w:type="gramStart"/>
      <w:r w:rsidRPr="00C15361">
        <w:rPr>
          <w:b/>
          <w:bCs/>
        </w:rPr>
        <w:t>to  Questions</w:t>
      </w:r>
      <w:proofErr w:type="gramEnd"/>
      <w:r>
        <w:rPr>
          <w:b/>
          <w:bCs/>
        </w:rPr>
        <w:t xml:space="preserve"> 8-</w:t>
      </w:r>
      <w:r w:rsidRPr="00C15361">
        <w:rPr>
          <w:b/>
          <w:bCs/>
        </w:rPr>
        <w:t xml:space="preserve"> </w:t>
      </w:r>
      <w:r>
        <w:rPr>
          <w:b/>
          <w:bCs/>
        </w:rPr>
        <w:t xml:space="preserve">17 </w:t>
      </w:r>
      <w:r w:rsidRPr="00C15361">
        <w:rPr>
          <w:b/>
          <w:bCs/>
        </w:rPr>
        <w:t>raised by the Planning Inspector.</w:t>
      </w:r>
    </w:p>
    <w:p w14:paraId="1F3E2DDE" w14:textId="1B30B6C1" w:rsidR="008D3441" w:rsidRPr="001F37DE" w:rsidRDefault="008D3441">
      <w:pPr>
        <w:rPr>
          <w:b/>
        </w:rPr>
      </w:pPr>
      <w:r w:rsidRPr="001F37DE">
        <w:rPr>
          <w:b/>
        </w:rPr>
        <w:t>Q8: for KCC</w:t>
      </w:r>
    </w:p>
    <w:p w14:paraId="7FFFB172" w14:textId="542BCBDA" w:rsidR="008D3441" w:rsidRPr="001F37DE" w:rsidRDefault="008D3441">
      <w:pPr>
        <w:rPr>
          <w:b/>
        </w:rPr>
      </w:pPr>
      <w:r w:rsidRPr="001F37DE">
        <w:rPr>
          <w:b/>
        </w:rPr>
        <w:t>Q9: for KCC</w:t>
      </w:r>
    </w:p>
    <w:p w14:paraId="761E159A" w14:textId="76F3292B" w:rsidR="008D3441" w:rsidRPr="001F37DE" w:rsidRDefault="008D3441" w:rsidP="008D3441">
      <w:pPr>
        <w:rPr>
          <w:b/>
        </w:rPr>
      </w:pPr>
      <w:r w:rsidRPr="001F37DE">
        <w:rPr>
          <w:b/>
        </w:rPr>
        <w:t>Q10: for KCC</w:t>
      </w:r>
    </w:p>
    <w:p w14:paraId="30E39774" w14:textId="1B742D92" w:rsidR="008D3441" w:rsidRPr="001F37DE" w:rsidRDefault="008D3441" w:rsidP="008D3441">
      <w:pPr>
        <w:rPr>
          <w:b/>
        </w:rPr>
      </w:pPr>
      <w:r w:rsidRPr="001F37DE">
        <w:rPr>
          <w:b/>
        </w:rPr>
        <w:t>Q11: Schedule 25 payments</w:t>
      </w:r>
    </w:p>
    <w:p w14:paraId="50385A79" w14:textId="1737A69B" w:rsidR="008D3441" w:rsidRDefault="008D3441" w:rsidP="008D3441">
      <w:r>
        <w:t>To check whether all payments have been made (KCC suggest that £145,000 has been paid)</w:t>
      </w:r>
    </w:p>
    <w:p w14:paraId="19F7D345" w14:textId="78D679A7" w:rsidR="0006428D" w:rsidRPr="00817CFD" w:rsidRDefault="0006428D" w:rsidP="0006428D">
      <w:pPr>
        <w:rPr>
          <w:i/>
          <w:iCs/>
        </w:rPr>
      </w:pPr>
      <w:r w:rsidRPr="00817CFD">
        <w:rPr>
          <w:i/>
          <w:iCs/>
        </w:rPr>
        <w:t xml:space="preserve">As </w:t>
      </w:r>
      <w:r w:rsidR="00817CFD">
        <w:rPr>
          <w:i/>
          <w:iCs/>
        </w:rPr>
        <w:t>the Appellants st</w:t>
      </w:r>
      <w:r w:rsidRPr="00817CFD">
        <w:rPr>
          <w:i/>
          <w:iCs/>
        </w:rPr>
        <w:t xml:space="preserve">ated at the round table, </w:t>
      </w:r>
      <w:r w:rsidR="00817CFD">
        <w:rPr>
          <w:i/>
          <w:iCs/>
        </w:rPr>
        <w:t xml:space="preserve">the Appellants </w:t>
      </w:r>
      <w:r w:rsidRPr="00817CFD">
        <w:rPr>
          <w:i/>
          <w:iCs/>
        </w:rPr>
        <w:t>have paid:</w:t>
      </w:r>
    </w:p>
    <w:p w14:paraId="5370B104" w14:textId="405FD114" w:rsidR="0006428D" w:rsidRPr="00817CFD" w:rsidRDefault="0006428D" w:rsidP="0006428D">
      <w:pPr>
        <w:rPr>
          <w:i/>
          <w:iCs/>
        </w:rPr>
      </w:pPr>
      <w:r w:rsidRPr="00817CFD">
        <w:rPr>
          <w:i/>
          <w:iCs/>
        </w:rPr>
        <w:t>•</w:t>
      </w:r>
      <w:r w:rsidRPr="00817CFD">
        <w:rPr>
          <w:i/>
          <w:iCs/>
        </w:rPr>
        <w:tab/>
        <w:t xml:space="preserve">Archaeological Archiving Contribution of £40,000 on </w:t>
      </w:r>
      <w:r w:rsidR="004E052F">
        <w:rPr>
          <w:i/>
          <w:iCs/>
        </w:rPr>
        <w:t>2</w:t>
      </w:r>
      <w:r w:rsidRPr="00817CFD">
        <w:rPr>
          <w:i/>
          <w:iCs/>
        </w:rPr>
        <w:t>7/</w:t>
      </w:r>
      <w:r w:rsidR="004E052F">
        <w:rPr>
          <w:i/>
          <w:iCs/>
        </w:rPr>
        <w:t>3</w:t>
      </w:r>
      <w:r w:rsidRPr="00817CFD">
        <w:rPr>
          <w:i/>
          <w:iCs/>
        </w:rPr>
        <w:t>/17</w:t>
      </w:r>
    </w:p>
    <w:p w14:paraId="2543D413" w14:textId="034E5770" w:rsidR="0006428D" w:rsidRPr="00817CFD" w:rsidRDefault="0006428D" w:rsidP="0006428D">
      <w:pPr>
        <w:rPr>
          <w:i/>
          <w:iCs/>
        </w:rPr>
      </w:pPr>
      <w:r w:rsidRPr="00817CFD">
        <w:rPr>
          <w:i/>
          <w:iCs/>
        </w:rPr>
        <w:t>•</w:t>
      </w:r>
      <w:r w:rsidRPr="00817CFD">
        <w:rPr>
          <w:i/>
          <w:iCs/>
        </w:rPr>
        <w:tab/>
        <w:t xml:space="preserve">Heritage Interpretation Contribution of £60,000 on </w:t>
      </w:r>
      <w:r w:rsidR="004E052F">
        <w:rPr>
          <w:i/>
          <w:iCs/>
        </w:rPr>
        <w:t>2</w:t>
      </w:r>
      <w:r w:rsidRPr="00817CFD">
        <w:rPr>
          <w:i/>
          <w:iCs/>
        </w:rPr>
        <w:t>7/</w:t>
      </w:r>
      <w:r w:rsidR="004E052F">
        <w:rPr>
          <w:i/>
          <w:iCs/>
        </w:rPr>
        <w:t>3</w:t>
      </w:r>
      <w:r w:rsidRPr="00817CFD">
        <w:rPr>
          <w:i/>
          <w:iCs/>
        </w:rPr>
        <w:t>/17</w:t>
      </w:r>
    </w:p>
    <w:p w14:paraId="449019E5" w14:textId="2EDFC18F" w:rsidR="0006428D" w:rsidRPr="00817CFD" w:rsidRDefault="0006428D" w:rsidP="0006428D">
      <w:pPr>
        <w:rPr>
          <w:i/>
          <w:iCs/>
        </w:rPr>
      </w:pPr>
      <w:r w:rsidRPr="00817CFD">
        <w:rPr>
          <w:i/>
          <w:iCs/>
        </w:rPr>
        <w:t>•</w:t>
      </w:r>
      <w:r w:rsidRPr="00817CFD">
        <w:rPr>
          <w:i/>
          <w:iCs/>
        </w:rPr>
        <w:tab/>
        <w:t xml:space="preserve">Archaeological Contribution 1 of £15,000 on </w:t>
      </w:r>
      <w:r w:rsidR="004E052F">
        <w:rPr>
          <w:i/>
          <w:iCs/>
        </w:rPr>
        <w:t>2</w:t>
      </w:r>
      <w:r w:rsidRPr="00817CFD">
        <w:rPr>
          <w:i/>
          <w:iCs/>
        </w:rPr>
        <w:t>7/</w:t>
      </w:r>
      <w:r w:rsidR="004E052F">
        <w:rPr>
          <w:i/>
          <w:iCs/>
        </w:rPr>
        <w:t>3</w:t>
      </w:r>
      <w:r w:rsidRPr="00817CFD">
        <w:rPr>
          <w:i/>
          <w:iCs/>
        </w:rPr>
        <w:t>/17</w:t>
      </w:r>
    </w:p>
    <w:p w14:paraId="5BC09257" w14:textId="13D068B6" w:rsidR="0006428D" w:rsidRPr="00817CFD" w:rsidRDefault="0006428D" w:rsidP="0006428D">
      <w:pPr>
        <w:rPr>
          <w:i/>
          <w:iCs/>
        </w:rPr>
      </w:pPr>
      <w:r w:rsidRPr="00817CFD">
        <w:rPr>
          <w:i/>
          <w:iCs/>
        </w:rPr>
        <w:t>This leaves the following to be paid (if not discharged):</w:t>
      </w:r>
    </w:p>
    <w:p w14:paraId="05BB0DBE" w14:textId="77777777" w:rsidR="0006428D" w:rsidRPr="00817CFD" w:rsidRDefault="0006428D" w:rsidP="0006428D">
      <w:pPr>
        <w:rPr>
          <w:i/>
          <w:iCs/>
        </w:rPr>
      </w:pPr>
      <w:r w:rsidRPr="00817CFD">
        <w:rPr>
          <w:i/>
          <w:iCs/>
        </w:rPr>
        <w:t>•</w:t>
      </w:r>
      <w:r w:rsidRPr="00817CFD">
        <w:rPr>
          <w:i/>
          <w:iCs/>
        </w:rPr>
        <w:tab/>
        <w:t xml:space="preserve">Archaeological Contribution 2 of £15,000 due at 301 occupations. </w:t>
      </w:r>
    </w:p>
    <w:p w14:paraId="05189305" w14:textId="7DCB647C" w:rsidR="0006428D" w:rsidRPr="00817CFD" w:rsidRDefault="0006428D" w:rsidP="0006428D">
      <w:pPr>
        <w:rPr>
          <w:i/>
          <w:iCs/>
        </w:rPr>
      </w:pPr>
      <w:r w:rsidRPr="00817CFD">
        <w:rPr>
          <w:i/>
          <w:iCs/>
        </w:rPr>
        <w:t>•</w:t>
      </w:r>
      <w:r w:rsidRPr="00817CFD">
        <w:rPr>
          <w:i/>
          <w:iCs/>
        </w:rPr>
        <w:tab/>
        <w:t>Archaeological Contribution 3 of £15,000 due at 600 occupations.</w:t>
      </w:r>
    </w:p>
    <w:p w14:paraId="3AA08ECD" w14:textId="74EE71B0" w:rsidR="008D3441" w:rsidRPr="00817CFD" w:rsidRDefault="008D3441" w:rsidP="008D3441">
      <w:pPr>
        <w:rPr>
          <w:i/>
          <w:iCs/>
        </w:rPr>
      </w:pPr>
    </w:p>
    <w:p w14:paraId="7A3D364E" w14:textId="75FFACC3" w:rsidR="008D3441" w:rsidRPr="001F37DE" w:rsidRDefault="008D3441" w:rsidP="008D3441">
      <w:pPr>
        <w:rPr>
          <w:b/>
        </w:rPr>
      </w:pPr>
      <w:r w:rsidRPr="001F37DE">
        <w:rPr>
          <w:b/>
        </w:rPr>
        <w:t xml:space="preserve">Q12: </w:t>
      </w:r>
      <w:r w:rsidR="005938C2" w:rsidRPr="001F37DE">
        <w:rPr>
          <w:b/>
        </w:rPr>
        <w:t xml:space="preserve">Schedule 24 </w:t>
      </w:r>
      <w:r w:rsidR="00817CFD" w:rsidRPr="001F37DE">
        <w:rPr>
          <w:b/>
        </w:rPr>
        <w:t xml:space="preserve">Public Art </w:t>
      </w:r>
    </w:p>
    <w:p w14:paraId="60536B3A" w14:textId="77777777" w:rsidR="00817CFD" w:rsidRDefault="008D3441" w:rsidP="003A3EF2">
      <w:pPr>
        <w:rPr>
          <w:lang w:val="en-US"/>
        </w:rPr>
      </w:pPr>
      <w:r>
        <w:rPr>
          <w:lang w:val="en-US"/>
        </w:rPr>
        <w:t>Whether CMO would maintain the public art and how does the current proposed amended text deal with that?</w:t>
      </w:r>
      <w:r w:rsidR="00F9695F">
        <w:rPr>
          <w:lang w:val="en-US"/>
        </w:rPr>
        <w:t xml:space="preserve"> </w:t>
      </w:r>
    </w:p>
    <w:p w14:paraId="283C3FB0" w14:textId="1A7EA428" w:rsidR="008D3441" w:rsidRPr="00817CFD" w:rsidRDefault="003A3EF2" w:rsidP="003A3EF2">
      <w:pPr>
        <w:rPr>
          <w:i/>
          <w:iCs/>
        </w:rPr>
      </w:pPr>
      <w:r w:rsidRPr="00817CFD">
        <w:rPr>
          <w:i/>
          <w:iCs/>
        </w:rPr>
        <w:t xml:space="preserve">The modifications at paragraphs 1.7 and 1.8 </w:t>
      </w:r>
      <w:r w:rsidR="005938C2">
        <w:rPr>
          <w:i/>
          <w:iCs/>
        </w:rPr>
        <w:t xml:space="preserve">of Schedule 24 </w:t>
      </w:r>
      <w:r w:rsidRPr="00817CFD">
        <w:rPr>
          <w:i/>
          <w:iCs/>
        </w:rPr>
        <w:t>would discharge the requirement for the Owners to maintain the public art; instead, this would fall to the CMO as one of the ‘Essential Activities’ it is required to carry out, as specified at Schedule 3 of the Framework Agreement (Schedule 38 of the s.106 Agreement). Specifically, this requires ‘the maintenance renewal and replacement of the Public Art required pursuant to the terms of the Section 106 agreement and the Planning Permission only’.</w:t>
      </w:r>
    </w:p>
    <w:p w14:paraId="0EFC25E4" w14:textId="77777777" w:rsidR="008D3441" w:rsidRDefault="008D3441" w:rsidP="008D3441">
      <w:pPr>
        <w:rPr>
          <w:lang w:val="en-US"/>
        </w:rPr>
      </w:pPr>
    </w:p>
    <w:p w14:paraId="42D6645E" w14:textId="5B779180" w:rsidR="008D3441" w:rsidRPr="001F37DE" w:rsidRDefault="008D3441" w:rsidP="008D3441">
      <w:pPr>
        <w:rPr>
          <w:b/>
        </w:rPr>
      </w:pPr>
      <w:r w:rsidRPr="001F37DE">
        <w:rPr>
          <w:b/>
        </w:rPr>
        <w:t>Q13: Schedule 12 and indexation</w:t>
      </w:r>
    </w:p>
    <w:p w14:paraId="5FB82D0B" w14:textId="77777777" w:rsidR="005938C2" w:rsidRDefault="008D3441" w:rsidP="008D3441">
      <w:pPr>
        <w:rPr>
          <w:lang w:val="en-US"/>
        </w:rPr>
      </w:pPr>
      <w:r>
        <w:rPr>
          <w:lang w:val="en-US"/>
        </w:rPr>
        <w:t xml:space="preserve">For the parties to agree what is the overall result in respect of indexation, with reference to 27.1 and 27.2 which </w:t>
      </w:r>
      <w:proofErr w:type="gramStart"/>
      <w:r>
        <w:rPr>
          <w:lang w:val="en-US"/>
        </w:rPr>
        <w:t>say</w:t>
      </w:r>
      <w:proofErr w:type="gramEnd"/>
      <w:r>
        <w:rPr>
          <w:lang w:val="en-US"/>
        </w:rPr>
        <w:t xml:space="preserve"> ‘where it applies’.</w:t>
      </w:r>
    </w:p>
    <w:p w14:paraId="305791C2" w14:textId="7B273F0E" w:rsidR="008D3441" w:rsidRPr="005938C2" w:rsidRDefault="00173D4C" w:rsidP="008D3441">
      <w:pPr>
        <w:rPr>
          <w:i/>
          <w:iCs/>
        </w:rPr>
      </w:pPr>
      <w:r w:rsidRPr="005938C2">
        <w:rPr>
          <w:i/>
          <w:iCs/>
        </w:rPr>
        <w:t xml:space="preserve">Clause 27.1 </w:t>
      </w:r>
      <w:r w:rsidR="00AD4DA5" w:rsidRPr="005938C2">
        <w:rPr>
          <w:i/>
          <w:iCs/>
        </w:rPr>
        <w:t xml:space="preserve">serves to </w:t>
      </w:r>
      <w:r w:rsidRPr="005938C2">
        <w:rPr>
          <w:i/>
          <w:iCs/>
        </w:rPr>
        <w:t>set out the Final Index Value ‘where Index Linking applies, unless otherwise provided…’. Clause 27.2 clearly states that Index Linking applies to Schedules 8 and 12</w:t>
      </w:r>
      <w:r w:rsidR="00AD4DA5" w:rsidRPr="005938C2">
        <w:rPr>
          <w:i/>
          <w:iCs/>
        </w:rPr>
        <w:t xml:space="preserve"> and sets out the specific provisions for those Schedules. </w:t>
      </w:r>
      <w:proofErr w:type="gramStart"/>
      <w:r w:rsidR="00AD4DA5" w:rsidRPr="005938C2">
        <w:rPr>
          <w:i/>
          <w:iCs/>
        </w:rPr>
        <w:t>So</w:t>
      </w:r>
      <w:proofErr w:type="gramEnd"/>
      <w:r w:rsidR="00AD4DA5" w:rsidRPr="005938C2">
        <w:rPr>
          <w:i/>
          <w:iCs/>
        </w:rPr>
        <w:t xml:space="preserve"> Indexation clearly applies to Schedule 12.</w:t>
      </w:r>
    </w:p>
    <w:p w14:paraId="6DB5B2F5" w14:textId="77777777" w:rsidR="008D3441" w:rsidRDefault="008D3441" w:rsidP="008D3441">
      <w:pPr>
        <w:rPr>
          <w:lang w:val="en-US"/>
        </w:rPr>
      </w:pPr>
    </w:p>
    <w:p w14:paraId="353C0A51" w14:textId="76C4812D" w:rsidR="008D3441" w:rsidRPr="001F37DE" w:rsidRDefault="008D3441" w:rsidP="008D3441">
      <w:pPr>
        <w:rPr>
          <w:b/>
          <w:lang w:val="en-US"/>
        </w:rPr>
      </w:pPr>
      <w:r w:rsidRPr="001F37DE">
        <w:rPr>
          <w:b/>
          <w:lang w:val="en-US"/>
        </w:rPr>
        <w:t>Q14:</w:t>
      </w:r>
      <w:r w:rsidR="008A4622" w:rsidRPr="001F37DE">
        <w:rPr>
          <w:b/>
          <w:lang w:val="en-US"/>
        </w:rPr>
        <w:t xml:space="preserve"> </w:t>
      </w:r>
      <w:r w:rsidR="00537E9F" w:rsidRPr="001F37DE">
        <w:rPr>
          <w:b/>
          <w:lang w:val="en-US"/>
        </w:rPr>
        <w:t>Approval of Design Brief and Specification- Sports Topic Paper.</w:t>
      </w:r>
    </w:p>
    <w:p w14:paraId="11B92615" w14:textId="641931C1" w:rsidR="00537E9F" w:rsidRPr="00537E9F" w:rsidRDefault="00537E9F" w:rsidP="00537E9F">
      <w:pPr>
        <w:rPr>
          <w:lang w:val="en-US"/>
        </w:rPr>
      </w:pPr>
      <w:r w:rsidRPr="00537E9F">
        <w:rPr>
          <w:lang w:val="en-US"/>
        </w:rPr>
        <w:lastRenderedPageBreak/>
        <w:t>Can Hodson Developments confirm the current building trajectory. What is the anticipated timescale between approval of the Design Brief and Specification and the requirement to deliver facilities as set out in para 6.22 of the Sports Topic Paper.</w:t>
      </w:r>
    </w:p>
    <w:p w14:paraId="26D5B3EF" w14:textId="52968C59" w:rsidR="00C15361" w:rsidRPr="00BE2A94" w:rsidRDefault="00AC0863" w:rsidP="00C15361">
      <w:pPr>
        <w:rPr>
          <w:i/>
          <w:iCs/>
        </w:rPr>
      </w:pPr>
      <w:r>
        <w:rPr>
          <w:i/>
          <w:iCs/>
        </w:rPr>
        <w:t xml:space="preserve">The </w:t>
      </w:r>
      <w:r w:rsidR="00C15361" w:rsidRPr="00BE2A94">
        <w:rPr>
          <w:i/>
          <w:iCs/>
        </w:rPr>
        <w:t xml:space="preserve">housing </w:t>
      </w:r>
      <w:r>
        <w:rPr>
          <w:i/>
          <w:iCs/>
        </w:rPr>
        <w:t xml:space="preserve">trajectory </w:t>
      </w:r>
      <w:r w:rsidR="00D46143">
        <w:rPr>
          <w:i/>
          <w:iCs/>
        </w:rPr>
        <w:t xml:space="preserve">assumed by Hodson Developments </w:t>
      </w:r>
      <w:r w:rsidR="00C15361" w:rsidRPr="00BE2A94">
        <w:rPr>
          <w:i/>
          <w:iCs/>
        </w:rPr>
        <w:t xml:space="preserve">is </w:t>
      </w:r>
      <w:r w:rsidR="00D46143">
        <w:rPr>
          <w:i/>
          <w:iCs/>
        </w:rPr>
        <w:t xml:space="preserve">for housing </w:t>
      </w:r>
      <w:proofErr w:type="gramStart"/>
      <w:r w:rsidR="00D46143">
        <w:rPr>
          <w:i/>
          <w:iCs/>
        </w:rPr>
        <w:t xml:space="preserve">delivery </w:t>
      </w:r>
      <w:r w:rsidR="00D46143" w:rsidRPr="00BE2A94">
        <w:rPr>
          <w:i/>
          <w:iCs/>
        </w:rPr>
        <w:t xml:space="preserve"> </w:t>
      </w:r>
      <w:r w:rsidR="00C15361" w:rsidRPr="00BE2A94">
        <w:rPr>
          <w:i/>
          <w:iCs/>
        </w:rPr>
        <w:t>to</w:t>
      </w:r>
      <w:proofErr w:type="gramEnd"/>
      <w:r w:rsidR="00C15361" w:rsidRPr="00BE2A94">
        <w:rPr>
          <w:i/>
          <w:iCs/>
        </w:rPr>
        <w:t xml:space="preserve"> accelerate to 300 homes per year, facilitating completion by 2048. </w:t>
      </w:r>
    </w:p>
    <w:p w14:paraId="01436380" w14:textId="77777777" w:rsidR="00C15361" w:rsidRPr="00BE2A94" w:rsidRDefault="00C15361" w:rsidP="00C15361">
      <w:pPr>
        <w:rPr>
          <w:i/>
          <w:iCs/>
        </w:rPr>
      </w:pPr>
      <w:r w:rsidRPr="00BE2A94">
        <w:rPr>
          <w:i/>
          <w:iCs/>
        </w:rPr>
        <w:t xml:space="preserve">The proposed modification is to secure the agreement of the Design Brief and Specification by 2,650 occupations and to deliver the first Phase of the Sports Facilities by 3,650 occupations. Assuming a steady delivery rate of 300 per annum, this would equate to 3.3 years (40 months) between approval of the Design Brief and Specification and the requirement to deliver the facility. Hodson Developments considers this ample time to deliver the facility. Importantly, it does not entail a protracted period between the requirement to consult on the design and specification of the facilities with </w:t>
      </w:r>
      <w:proofErr w:type="gramStart"/>
      <w:r w:rsidRPr="00BE2A94">
        <w:rPr>
          <w:i/>
          <w:iCs/>
        </w:rPr>
        <w:t>local residents</w:t>
      </w:r>
      <w:proofErr w:type="gramEnd"/>
      <w:r w:rsidRPr="00BE2A94">
        <w:rPr>
          <w:i/>
          <w:iCs/>
        </w:rPr>
        <w:t xml:space="preserve"> (as part of agreeing the Design Brief and Specification) and the requirement to deliver. Hodson Developments considers this important to maintain community engagement and buy in.</w:t>
      </w:r>
    </w:p>
    <w:p w14:paraId="4ACE1045" w14:textId="77777777" w:rsidR="00C15361" w:rsidRPr="00BE2A94" w:rsidRDefault="00C15361" w:rsidP="00C15361">
      <w:pPr>
        <w:rPr>
          <w:i/>
          <w:iCs/>
        </w:rPr>
      </w:pPr>
      <w:r w:rsidRPr="00BE2A94">
        <w:rPr>
          <w:i/>
          <w:iCs/>
        </w:rPr>
        <w:t xml:space="preserve">The main factor that will influence the </w:t>
      </w:r>
      <w:proofErr w:type="gramStart"/>
      <w:r w:rsidRPr="00BE2A94">
        <w:rPr>
          <w:i/>
          <w:iCs/>
        </w:rPr>
        <w:t>time period</w:t>
      </w:r>
      <w:proofErr w:type="gramEnd"/>
      <w:r w:rsidRPr="00BE2A94">
        <w:rPr>
          <w:i/>
          <w:iCs/>
        </w:rPr>
        <w:t xml:space="preserve"> to deliver the facilities will be the ability to secure Reserved Matters Approval in a timely manner from the Local Planning Authority. This is outside of the control of the Appellant. It should also be noted that under Condition 7 of the outline planning consent that all Reserved Matters Applications (RMA) for Main Phase 3 need to be submitted by January 2030 i.e. less than 5 years’ time. It is therefore highly likely that the need to submit the RMA for the first phase of the Sports Facilities will arrive prior to the trigger to have the Design Brief and Specification for the facilities to be approved and therefore the design of the facilities will be well advanced outside of the specific work on the Design Brief and Specification. </w:t>
      </w:r>
    </w:p>
    <w:p w14:paraId="5E531001" w14:textId="77777777" w:rsidR="00C15361" w:rsidRPr="00BE2A94" w:rsidRDefault="00C15361" w:rsidP="00C15361">
      <w:pPr>
        <w:rPr>
          <w:i/>
          <w:iCs/>
        </w:rPr>
      </w:pPr>
    </w:p>
    <w:p w14:paraId="3683BAF2" w14:textId="6347F634" w:rsidR="00FA4C38" w:rsidRPr="00BE2A94" w:rsidRDefault="00C15361" w:rsidP="00FA4C38">
      <w:pPr>
        <w:rPr>
          <w:i/>
          <w:iCs/>
        </w:rPr>
      </w:pPr>
      <w:r w:rsidRPr="00BE2A94">
        <w:rPr>
          <w:i/>
          <w:iCs/>
        </w:rPr>
        <w:t xml:space="preserve">Conversely, under the current s106 agreement, the housing trajectory envisages that there will be over 7 years between 1,000 occupations (the point at which the Design Brief and Specification needs to be approved) and 3,200, when the facility needs to be delivered. This is considered far too long a period between first consultation with residents and delivery of the facility. Moreover, the Appellant considers that a negative obligation that prevents further occupation of the Development </w:t>
      </w:r>
      <w:proofErr w:type="gramStart"/>
      <w:r w:rsidRPr="00BE2A94">
        <w:rPr>
          <w:i/>
          <w:iCs/>
        </w:rPr>
        <w:t>in the event that</w:t>
      </w:r>
      <w:proofErr w:type="gramEnd"/>
      <w:r w:rsidRPr="00BE2A94">
        <w:rPr>
          <w:i/>
          <w:iCs/>
        </w:rPr>
        <w:t xml:space="preserve"> a Design Brief and Specification is not agreed for a facility that is not required for at least a further 7 years does not serve a useful purpose. </w:t>
      </w:r>
    </w:p>
    <w:p w14:paraId="21C2B418" w14:textId="77777777" w:rsidR="008A4622" w:rsidRPr="00BE2A94" w:rsidRDefault="008A4622" w:rsidP="008D3441">
      <w:pPr>
        <w:rPr>
          <w:i/>
          <w:iCs/>
          <w:lang w:val="en-US"/>
        </w:rPr>
      </w:pPr>
    </w:p>
    <w:p w14:paraId="3BF1CDA4" w14:textId="5C49D2EA" w:rsidR="008A4622" w:rsidRPr="001F37DE" w:rsidRDefault="008A4622" w:rsidP="008D3441">
      <w:pPr>
        <w:rPr>
          <w:b/>
          <w:lang w:val="en-US"/>
        </w:rPr>
      </w:pPr>
      <w:r w:rsidRPr="001F37DE">
        <w:rPr>
          <w:b/>
          <w:lang w:val="en-US"/>
        </w:rPr>
        <w:t>Q15: for Hodson</w:t>
      </w:r>
    </w:p>
    <w:p w14:paraId="59ACABCA" w14:textId="15BEF315" w:rsidR="008A4622" w:rsidRDefault="008A4622" w:rsidP="008D3441">
      <w:pPr>
        <w:rPr>
          <w:lang w:val="en-US"/>
        </w:rPr>
      </w:pPr>
      <w:r>
        <w:rPr>
          <w:lang w:val="en-US"/>
        </w:rPr>
        <w:t>Developer’s contribution bank account</w:t>
      </w:r>
    </w:p>
    <w:p w14:paraId="2467D175" w14:textId="5D18D88B" w:rsidR="008A4622" w:rsidRDefault="008A4622" w:rsidP="008D3441">
      <w:pPr>
        <w:rPr>
          <w:lang w:val="en-US"/>
        </w:rPr>
      </w:pPr>
      <w:r>
        <w:rPr>
          <w:lang w:val="en-US"/>
        </w:rPr>
        <w:t xml:space="preserve">Hodson to check the figures at section 8 of </w:t>
      </w:r>
      <w:r w:rsidR="006B519A">
        <w:rPr>
          <w:lang w:val="en-US"/>
        </w:rPr>
        <w:t xml:space="preserve">Delivery, Monitoring &amp; Council’s Costs Reimbursement </w:t>
      </w:r>
      <w:r>
        <w:rPr>
          <w:lang w:val="en-US"/>
        </w:rPr>
        <w:t>Topic Paper</w:t>
      </w:r>
      <w:r w:rsidR="003D1D44">
        <w:rPr>
          <w:lang w:val="en-US"/>
        </w:rPr>
        <w:t xml:space="preserve"> (table 8.1)</w:t>
      </w:r>
    </w:p>
    <w:p w14:paraId="1942D2C0" w14:textId="77777777" w:rsidR="00F62688" w:rsidRPr="00BE2A94" w:rsidRDefault="00F62688" w:rsidP="008D3441">
      <w:pPr>
        <w:rPr>
          <w:i/>
          <w:iCs/>
          <w:lang w:val="en-US"/>
        </w:rPr>
      </w:pPr>
    </w:p>
    <w:p w14:paraId="60538BD7" w14:textId="77777777" w:rsidR="00F62688" w:rsidRPr="00BE2A94" w:rsidRDefault="00F62688" w:rsidP="00F62688">
      <w:pPr>
        <w:rPr>
          <w:i/>
          <w:iCs/>
        </w:rPr>
      </w:pPr>
      <w:r w:rsidRPr="00BE2A94">
        <w:rPr>
          <w:i/>
          <w:iCs/>
        </w:rPr>
        <w:t>The Council has set out it’s understanding of the amounts that the Appellant is seeking reimbursement of in table 8.1, which is set out below, together with the relevant modification.</w:t>
      </w:r>
    </w:p>
    <w:tbl>
      <w:tblPr>
        <w:tblW w:w="1011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9"/>
        <w:gridCol w:w="1620"/>
        <w:gridCol w:w="1357"/>
        <w:gridCol w:w="1559"/>
        <w:gridCol w:w="3770"/>
      </w:tblGrid>
      <w:tr w:rsidR="00F62688" w:rsidRPr="00F62688" w14:paraId="0BD3D3A3" w14:textId="77777777" w:rsidTr="00D504A1">
        <w:trPr>
          <w:trHeight w:val="391"/>
        </w:trPr>
        <w:tc>
          <w:tcPr>
            <w:tcW w:w="1809" w:type="dxa"/>
            <w:tcBorders>
              <w:top w:val="none" w:sz="6" w:space="0" w:color="auto"/>
              <w:bottom w:val="none" w:sz="6" w:space="0" w:color="auto"/>
              <w:right w:val="none" w:sz="6" w:space="0" w:color="auto"/>
            </w:tcBorders>
          </w:tcPr>
          <w:p w14:paraId="0028948C" w14:textId="77777777" w:rsidR="00F62688" w:rsidRPr="00BE2A94" w:rsidRDefault="00F62688" w:rsidP="00D504A1">
            <w:pPr>
              <w:spacing w:after="0" w:line="240" w:lineRule="auto"/>
              <w:rPr>
                <w:i/>
                <w:iCs/>
              </w:rPr>
            </w:pPr>
            <w:r w:rsidRPr="00BE2A94">
              <w:rPr>
                <w:i/>
                <w:iCs/>
              </w:rPr>
              <w:t xml:space="preserve">Schedule / paragraph in the </w:t>
            </w:r>
            <w:r w:rsidRPr="00BE2A94">
              <w:rPr>
                <w:i/>
                <w:iCs/>
              </w:rPr>
              <w:lastRenderedPageBreak/>
              <w:t xml:space="preserve">modified Agreement </w:t>
            </w:r>
          </w:p>
        </w:tc>
        <w:tc>
          <w:tcPr>
            <w:tcW w:w="1620" w:type="dxa"/>
            <w:tcBorders>
              <w:top w:val="none" w:sz="6" w:space="0" w:color="auto"/>
              <w:left w:val="none" w:sz="6" w:space="0" w:color="auto"/>
              <w:bottom w:val="none" w:sz="6" w:space="0" w:color="auto"/>
              <w:right w:val="none" w:sz="6" w:space="0" w:color="auto"/>
            </w:tcBorders>
          </w:tcPr>
          <w:p w14:paraId="2FD75F61" w14:textId="77777777" w:rsidR="00F62688" w:rsidRPr="00BE2A94" w:rsidRDefault="00F62688" w:rsidP="00D504A1">
            <w:pPr>
              <w:spacing w:after="0" w:line="240" w:lineRule="auto"/>
              <w:rPr>
                <w:i/>
                <w:iCs/>
              </w:rPr>
            </w:pPr>
            <w:r w:rsidRPr="00BE2A94">
              <w:rPr>
                <w:i/>
                <w:iCs/>
              </w:rPr>
              <w:lastRenderedPageBreak/>
              <w:t xml:space="preserve">Obligation </w:t>
            </w:r>
          </w:p>
        </w:tc>
        <w:tc>
          <w:tcPr>
            <w:tcW w:w="1357" w:type="dxa"/>
            <w:tcBorders>
              <w:top w:val="none" w:sz="6" w:space="0" w:color="auto"/>
              <w:left w:val="none" w:sz="6" w:space="0" w:color="auto"/>
              <w:bottom w:val="none" w:sz="6" w:space="0" w:color="auto"/>
              <w:right w:val="none" w:sz="6" w:space="0" w:color="auto"/>
            </w:tcBorders>
          </w:tcPr>
          <w:p w14:paraId="7472DFA2" w14:textId="77777777" w:rsidR="00F62688" w:rsidRPr="00BE2A94" w:rsidRDefault="00F62688" w:rsidP="00D504A1">
            <w:pPr>
              <w:spacing w:after="0" w:line="240" w:lineRule="auto"/>
              <w:rPr>
                <w:i/>
                <w:iCs/>
              </w:rPr>
            </w:pPr>
            <w:r w:rsidRPr="00BE2A94">
              <w:rPr>
                <w:i/>
                <w:iCs/>
              </w:rPr>
              <w:t xml:space="preserve">Amount paid </w:t>
            </w:r>
          </w:p>
        </w:tc>
        <w:tc>
          <w:tcPr>
            <w:tcW w:w="1559" w:type="dxa"/>
            <w:tcBorders>
              <w:top w:val="none" w:sz="6" w:space="0" w:color="auto"/>
              <w:left w:val="none" w:sz="6" w:space="0" w:color="auto"/>
              <w:bottom w:val="none" w:sz="6" w:space="0" w:color="auto"/>
            </w:tcBorders>
          </w:tcPr>
          <w:p w14:paraId="75FA3871" w14:textId="77777777" w:rsidR="00F62688" w:rsidRPr="00BE2A94" w:rsidRDefault="00F62688" w:rsidP="00D504A1">
            <w:pPr>
              <w:spacing w:after="0" w:line="240" w:lineRule="auto"/>
              <w:rPr>
                <w:i/>
                <w:iCs/>
              </w:rPr>
            </w:pPr>
            <w:r w:rsidRPr="00BE2A94">
              <w:rPr>
                <w:i/>
                <w:iCs/>
              </w:rPr>
              <w:t xml:space="preserve">Amount proposed to be refunded </w:t>
            </w:r>
          </w:p>
        </w:tc>
        <w:tc>
          <w:tcPr>
            <w:tcW w:w="3770" w:type="dxa"/>
            <w:tcBorders>
              <w:top w:val="none" w:sz="6" w:space="0" w:color="auto"/>
              <w:left w:val="none" w:sz="6" w:space="0" w:color="auto"/>
              <w:bottom w:val="none" w:sz="6" w:space="0" w:color="auto"/>
            </w:tcBorders>
          </w:tcPr>
          <w:p w14:paraId="1B544B27" w14:textId="495B2367" w:rsidR="00F62688" w:rsidRPr="00BE2A94" w:rsidRDefault="00F62688" w:rsidP="00D504A1">
            <w:pPr>
              <w:spacing w:after="0" w:line="240" w:lineRule="auto"/>
              <w:rPr>
                <w:i/>
                <w:iCs/>
              </w:rPr>
            </w:pPr>
            <w:r w:rsidRPr="00BE2A94">
              <w:rPr>
                <w:i/>
                <w:iCs/>
              </w:rPr>
              <w:t>Modification Reference</w:t>
            </w:r>
            <w:r w:rsidR="00E8539C">
              <w:rPr>
                <w:i/>
                <w:iCs/>
              </w:rPr>
              <w:t xml:space="preserve"> and Appellants’ Response </w:t>
            </w:r>
          </w:p>
        </w:tc>
      </w:tr>
      <w:tr w:rsidR="00F62688" w:rsidRPr="00F62688" w14:paraId="39AB3073" w14:textId="77777777" w:rsidTr="00D504A1">
        <w:trPr>
          <w:trHeight w:val="250"/>
        </w:trPr>
        <w:tc>
          <w:tcPr>
            <w:tcW w:w="1809" w:type="dxa"/>
            <w:tcBorders>
              <w:top w:val="none" w:sz="6" w:space="0" w:color="auto"/>
              <w:bottom w:val="none" w:sz="6" w:space="0" w:color="auto"/>
              <w:right w:val="none" w:sz="6" w:space="0" w:color="auto"/>
            </w:tcBorders>
          </w:tcPr>
          <w:p w14:paraId="586ADE18" w14:textId="77777777" w:rsidR="00F62688" w:rsidRPr="00BE2A94" w:rsidRDefault="00F62688" w:rsidP="00D504A1">
            <w:pPr>
              <w:spacing w:after="0" w:line="240" w:lineRule="auto"/>
              <w:rPr>
                <w:i/>
                <w:iCs/>
              </w:rPr>
            </w:pPr>
            <w:r w:rsidRPr="00BE2A94">
              <w:rPr>
                <w:i/>
                <w:iCs/>
              </w:rPr>
              <w:t xml:space="preserve">Schedule 4 </w:t>
            </w:r>
          </w:p>
          <w:p w14:paraId="16D71C4F" w14:textId="77777777" w:rsidR="00F62688" w:rsidRPr="00BE2A94" w:rsidRDefault="00F62688" w:rsidP="00D504A1">
            <w:pPr>
              <w:spacing w:after="0" w:line="240" w:lineRule="auto"/>
              <w:rPr>
                <w:i/>
                <w:iCs/>
              </w:rPr>
            </w:pPr>
            <w:r w:rsidRPr="00BE2A94">
              <w:rPr>
                <w:i/>
                <w:iCs/>
              </w:rPr>
              <w:t xml:space="preserve">new paragraph 6.6 </w:t>
            </w:r>
          </w:p>
        </w:tc>
        <w:tc>
          <w:tcPr>
            <w:tcW w:w="1620" w:type="dxa"/>
            <w:tcBorders>
              <w:top w:val="none" w:sz="6" w:space="0" w:color="auto"/>
              <w:left w:val="none" w:sz="6" w:space="0" w:color="auto"/>
              <w:bottom w:val="none" w:sz="6" w:space="0" w:color="auto"/>
              <w:right w:val="none" w:sz="6" w:space="0" w:color="auto"/>
            </w:tcBorders>
          </w:tcPr>
          <w:p w14:paraId="5565B127" w14:textId="77777777" w:rsidR="00F62688" w:rsidRPr="00BE2A94" w:rsidRDefault="00F62688" w:rsidP="00D504A1">
            <w:pPr>
              <w:spacing w:after="0" w:line="240" w:lineRule="auto"/>
              <w:rPr>
                <w:i/>
                <w:iCs/>
              </w:rPr>
            </w:pPr>
            <w:r w:rsidRPr="00BE2A94">
              <w:rPr>
                <w:i/>
                <w:iCs/>
              </w:rPr>
              <w:t xml:space="preserve">CMO Start-up Funding </w:t>
            </w:r>
          </w:p>
        </w:tc>
        <w:tc>
          <w:tcPr>
            <w:tcW w:w="1357" w:type="dxa"/>
            <w:tcBorders>
              <w:top w:val="none" w:sz="6" w:space="0" w:color="auto"/>
              <w:left w:val="none" w:sz="6" w:space="0" w:color="auto"/>
              <w:bottom w:val="none" w:sz="6" w:space="0" w:color="auto"/>
              <w:right w:val="none" w:sz="6" w:space="0" w:color="auto"/>
            </w:tcBorders>
          </w:tcPr>
          <w:p w14:paraId="394A16AF" w14:textId="77777777" w:rsidR="00F62688" w:rsidRPr="00BE2A94" w:rsidRDefault="00F62688" w:rsidP="00D504A1">
            <w:pPr>
              <w:spacing w:after="0" w:line="240" w:lineRule="auto"/>
              <w:rPr>
                <w:i/>
                <w:iCs/>
              </w:rPr>
            </w:pPr>
            <w:r w:rsidRPr="00BE2A94">
              <w:rPr>
                <w:i/>
                <w:iCs/>
              </w:rPr>
              <w:t xml:space="preserve">£150,000 </w:t>
            </w:r>
          </w:p>
        </w:tc>
        <w:tc>
          <w:tcPr>
            <w:tcW w:w="1559" w:type="dxa"/>
            <w:tcBorders>
              <w:top w:val="none" w:sz="6" w:space="0" w:color="auto"/>
              <w:left w:val="none" w:sz="6" w:space="0" w:color="auto"/>
              <w:bottom w:val="none" w:sz="6" w:space="0" w:color="auto"/>
            </w:tcBorders>
          </w:tcPr>
          <w:p w14:paraId="6A551887" w14:textId="77777777" w:rsidR="00F62688" w:rsidRPr="00BE2A94" w:rsidRDefault="00F62688" w:rsidP="00D504A1">
            <w:pPr>
              <w:spacing w:after="0" w:line="240" w:lineRule="auto"/>
              <w:rPr>
                <w:i/>
                <w:iCs/>
              </w:rPr>
            </w:pPr>
            <w:r w:rsidRPr="00BE2A94">
              <w:rPr>
                <w:i/>
                <w:iCs/>
              </w:rPr>
              <w:t xml:space="preserve">£168,369.91 </w:t>
            </w:r>
          </w:p>
        </w:tc>
        <w:tc>
          <w:tcPr>
            <w:tcW w:w="3770" w:type="dxa"/>
            <w:tcBorders>
              <w:top w:val="none" w:sz="6" w:space="0" w:color="auto"/>
              <w:left w:val="none" w:sz="6" w:space="0" w:color="auto"/>
              <w:bottom w:val="none" w:sz="6" w:space="0" w:color="auto"/>
            </w:tcBorders>
          </w:tcPr>
          <w:p w14:paraId="5D9AF4E4" w14:textId="77777777" w:rsidR="00F62688" w:rsidRPr="00BE2A94" w:rsidRDefault="00F62688" w:rsidP="00D504A1">
            <w:pPr>
              <w:spacing w:after="0" w:line="240" w:lineRule="auto"/>
              <w:rPr>
                <w:i/>
                <w:iCs/>
              </w:rPr>
            </w:pPr>
            <w:r w:rsidRPr="00BE2A94">
              <w:rPr>
                <w:i/>
                <w:iCs/>
              </w:rPr>
              <w:t xml:space="preserve">Request 23 states “The Appellants apply to Discharge these obligations and for the sums already paid to be refunded accordingly.” </w:t>
            </w:r>
          </w:p>
          <w:p w14:paraId="1CB1C6B7" w14:textId="77777777" w:rsidR="00F62688" w:rsidRPr="00BE2A94" w:rsidRDefault="00F62688" w:rsidP="00D504A1">
            <w:pPr>
              <w:spacing w:after="0" w:line="240" w:lineRule="auto"/>
              <w:rPr>
                <w:i/>
                <w:iCs/>
              </w:rPr>
            </w:pPr>
          </w:p>
          <w:p w14:paraId="6B2125EE" w14:textId="77777777" w:rsidR="00F62688" w:rsidRPr="00BE2A94" w:rsidRDefault="00F62688" w:rsidP="00D504A1">
            <w:pPr>
              <w:spacing w:after="0" w:line="240" w:lineRule="auto"/>
              <w:rPr>
                <w:i/>
                <w:iCs/>
              </w:rPr>
            </w:pPr>
            <w:r w:rsidRPr="00BE2A94">
              <w:rPr>
                <w:i/>
                <w:iCs/>
              </w:rPr>
              <w:t>The amended text in paragraph 6.6 states “The Council covenants with the Paying Owners to pay back to the Paying Owners the two CMO Start Up Contributions amounting to £168,369.91 (…) already paid to the Council within 28 days.</w:t>
            </w:r>
          </w:p>
          <w:p w14:paraId="71B9184A" w14:textId="77777777" w:rsidR="00F62688" w:rsidRPr="00BE2A94" w:rsidRDefault="00F62688" w:rsidP="00D504A1">
            <w:pPr>
              <w:spacing w:after="0" w:line="240" w:lineRule="auto"/>
              <w:rPr>
                <w:i/>
                <w:iCs/>
              </w:rPr>
            </w:pPr>
          </w:p>
          <w:p w14:paraId="64E5C066" w14:textId="75DFD8A8" w:rsidR="00F62688" w:rsidRPr="00BE2A94" w:rsidRDefault="00F62688" w:rsidP="00D504A1">
            <w:pPr>
              <w:spacing w:after="0" w:line="240" w:lineRule="auto"/>
              <w:rPr>
                <w:i/>
                <w:iCs/>
              </w:rPr>
            </w:pPr>
            <w:r w:rsidRPr="00BE2A94">
              <w:rPr>
                <w:i/>
                <w:iCs/>
              </w:rPr>
              <w:t>Hodson accounts confirm the First Instalment CMO Start Up Contribution of £77,874.00 was made on 17/02/2017 and a further payment – CMO start up instalment 2 was made on 04/10/2021 totalling £75,000. As such a total of £152,847 has been paid.</w:t>
            </w:r>
            <w:r w:rsidR="00E8539C">
              <w:rPr>
                <w:i/>
                <w:iCs/>
              </w:rPr>
              <w:t xml:space="preserve"> However, the Appellants will accept that £150,000 is the appropriate reimbursement figure </w:t>
            </w:r>
            <w:proofErr w:type="gramStart"/>
            <w:r w:rsidR="00E8539C">
              <w:rPr>
                <w:i/>
                <w:iCs/>
              </w:rPr>
              <w:t>in order to</w:t>
            </w:r>
            <w:proofErr w:type="gramEnd"/>
            <w:r w:rsidR="00E8539C">
              <w:rPr>
                <w:i/>
                <w:iCs/>
              </w:rPr>
              <w:t xml:space="preserve"> reach an agreed position </w:t>
            </w:r>
          </w:p>
          <w:p w14:paraId="5D12EA16" w14:textId="77777777" w:rsidR="00F62688" w:rsidRPr="00EF3719" w:rsidRDefault="00F62688" w:rsidP="00D504A1">
            <w:pPr>
              <w:spacing w:after="0" w:line="240" w:lineRule="auto"/>
              <w:rPr>
                <w:i/>
                <w:iCs/>
              </w:rPr>
            </w:pPr>
          </w:p>
        </w:tc>
      </w:tr>
      <w:tr w:rsidR="00F62688" w:rsidRPr="00F62688" w14:paraId="5510E8EA" w14:textId="77777777" w:rsidTr="00D504A1">
        <w:trPr>
          <w:trHeight w:val="250"/>
        </w:trPr>
        <w:tc>
          <w:tcPr>
            <w:tcW w:w="1809" w:type="dxa"/>
            <w:tcBorders>
              <w:top w:val="none" w:sz="6" w:space="0" w:color="auto"/>
              <w:bottom w:val="none" w:sz="6" w:space="0" w:color="auto"/>
              <w:right w:val="none" w:sz="6" w:space="0" w:color="auto"/>
            </w:tcBorders>
          </w:tcPr>
          <w:p w14:paraId="776E792D" w14:textId="77777777" w:rsidR="00F62688" w:rsidRPr="00EF3719" w:rsidRDefault="00F62688" w:rsidP="00D504A1">
            <w:pPr>
              <w:spacing w:after="0" w:line="240" w:lineRule="auto"/>
              <w:rPr>
                <w:i/>
                <w:iCs/>
              </w:rPr>
            </w:pPr>
            <w:r w:rsidRPr="00EF3719">
              <w:rPr>
                <w:i/>
                <w:iCs/>
              </w:rPr>
              <w:t xml:space="preserve">Schedule 5 </w:t>
            </w:r>
          </w:p>
          <w:p w14:paraId="642BA589" w14:textId="77777777" w:rsidR="00F62688" w:rsidRPr="00EF3719" w:rsidRDefault="00F62688" w:rsidP="00D504A1">
            <w:pPr>
              <w:spacing w:after="0" w:line="240" w:lineRule="auto"/>
              <w:rPr>
                <w:i/>
                <w:iCs/>
              </w:rPr>
            </w:pPr>
            <w:r w:rsidRPr="00EF3719">
              <w:rPr>
                <w:i/>
                <w:iCs/>
              </w:rPr>
              <w:t xml:space="preserve">new paragraph 1 </w:t>
            </w:r>
          </w:p>
        </w:tc>
        <w:tc>
          <w:tcPr>
            <w:tcW w:w="1620" w:type="dxa"/>
            <w:tcBorders>
              <w:top w:val="none" w:sz="6" w:space="0" w:color="auto"/>
              <w:left w:val="none" w:sz="6" w:space="0" w:color="auto"/>
              <w:bottom w:val="none" w:sz="6" w:space="0" w:color="auto"/>
              <w:right w:val="none" w:sz="6" w:space="0" w:color="auto"/>
            </w:tcBorders>
          </w:tcPr>
          <w:p w14:paraId="797A7213" w14:textId="77777777" w:rsidR="00F62688" w:rsidRPr="00EF3719" w:rsidRDefault="00F62688" w:rsidP="00D504A1">
            <w:pPr>
              <w:spacing w:after="0" w:line="240" w:lineRule="auto"/>
              <w:rPr>
                <w:i/>
                <w:iCs/>
              </w:rPr>
            </w:pPr>
            <w:r w:rsidRPr="00EF3719">
              <w:rPr>
                <w:i/>
                <w:iCs/>
              </w:rPr>
              <w:t xml:space="preserve">Early Community Development </w:t>
            </w:r>
          </w:p>
        </w:tc>
        <w:tc>
          <w:tcPr>
            <w:tcW w:w="1357" w:type="dxa"/>
            <w:tcBorders>
              <w:top w:val="none" w:sz="6" w:space="0" w:color="auto"/>
              <w:left w:val="none" w:sz="6" w:space="0" w:color="auto"/>
              <w:bottom w:val="none" w:sz="6" w:space="0" w:color="auto"/>
              <w:right w:val="none" w:sz="6" w:space="0" w:color="auto"/>
            </w:tcBorders>
          </w:tcPr>
          <w:p w14:paraId="69774606" w14:textId="77777777" w:rsidR="00F62688" w:rsidRPr="00EF3719" w:rsidRDefault="00F62688" w:rsidP="00D504A1">
            <w:pPr>
              <w:spacing w:after="0" w:line="240" w:lineRule="auto"/>
              <w:rPr>
                <w:i/>
                <w:iCs/>
              </w:rPr>
            </w:pPr>
            <w:r w:rsidRPr="00EF3719">
              <w:rPr>
                <w:i/>
                <w:iCs/>
              </w:rPr>
              <w:t xml:space="preserve">£250,000 </w:t>
            </w:r>
          </w:p>
        </w:tc>
        <w:tc>
          <w:tcPr>
            <w:tcW w:w="1559" w:type="dxa"/>
            <w:tcBorders>
              <w:top w:val="none" w:sz="6" w:space="0" w:color="auto"/>
              <w:left w:val="none" w:sz="6" w:space="0" w:color="auto"/>
              <w:bottom w:val="none" w:sz="6" w:space="0" w:color="auto"/>
            </w:tcBorders>
          </w:tcPr>
          <w:p w14:paraId="1FC64F97" w14:textId="77777777" w:rsidR="00F62688" w:rsidRPr="00EF3719" w:rsidRDefault="00F62688" w:rsidP="00D504A1">
            <w:pPr>
              <w:spacing w:after="0" w:line="240" w:lineRule="auto"/>
              <w:rPr>
                <w:i/>
                <w:iCs/>
              </w:rPr>
            </w:pPr>
            <w:r w:rsidRPr="00EF3719">
              <w:rPr>
                <w:i/>
                <w:iCs/>
              </w:rPr>
              <w:t xml:space="preserve">£212,847.14 </w:t>
            </w:r>
          </w:p>
        </w:tc>
        <w:tc>
          <w:tcPr>
            <w:tcW w:w="3770" w:type="dxa"/>
            <w:tcBorders>
              <w:top w:val="none" w:sz="6" w:space="0" w:color="auto"/>
              <w:left w:val="none" w:sz="6" w:space="0" w:color="auto"/>
              <w:bottom w:val="none" w:sz="6" w:space="0" w:color="auto"/>
            </w:tcBorders>
          </w:tcPr>
          <w:p w14:paraId="15E80D8E" w14:textId="77777777" w:rsidR="00F62688" w:rsidRPr="00EF3719" w:rsidRDefault="00F62688" w:rsidP="00D504A1">
            <w:pPr>
              <w:spacing w:after="0" w:line="240" w:lineRule="auto"/>
              <w:rPr>
                <w:i/>
                <w:iCs/>
              </w:rPr>
            </w:pPr>
            <w:r w:rsidRPr="00EF3719">
              <w:rPr>
                <w:i/>
                <w:iCs/>
              </w:rPr>
              <w:t>Request 24, which states “The Appellants apply for all past and further payments of ECD Contributions to be discharged.</w:t>
            </w:r>
          </w:p>
          <w:p w14:paraId="025CAED2" w14:textId="77777777" w:rsidR="00F62688" w:rsidRPr="00EF3719" w:rsidRDefault="00F62688" w:rsidP="00D504A1">
            <w:pPr>
              <w:spacing w:after="0" w:line="240" w:lineRule="auto"/>
              <w:rPr>
                <w:i/>
                <w:iCs/>
              </w:rPr>
            </w:pPr>
            <w:r w:rsidRPr="00EF3719">
              <w:rPr>
                <w:i/>
                <w:iCs/>
              </w:rPr>
              <w:t>The amended text in paragraph 1 states “The Council covenants with the Paying Owners to pay back to the Paying Owners the sum of £212,847 (</w:t>
            </w:r>
            <w:proofErr w:type="gramStart"/>
            <w:r w:rsidRPr="00EF3719">
              <w:rPr>
                <w:i/>
                <w:iCs/>
              </w:rPr>
              <w:t>…)already</w:t>
            </w:r>
            <w:proofErr w:type="gramEnd"/>
            <w:r w:rsidRPr="00EF3719">
              <w:rPr>
                <w:i/>
                <w:iCs/>
              </w:rPr>
              <w:t xml:space="preserve"> paid to the Council.</w:t>
            </w:r>
          </w:p>
          <w:p w14:paraId="38AB648A" w14:textId="77777777" w:rsidR="00F62688" w:rsidRPr="00EF3719" w:rsidRDefault="00F62688" w:rsidP="00D504A1">
            <w:pPr>
              <w:spacing w:after="0" w:line="240" w:lineRule="auto"/>
              <w:rPr>
                <w:i/>
                <w:iCs/>
              </w:rPr>
            </w:pPr>
            <w:r w:rsidRPr="00EF3719">
              <w:rPr>
                <w:i/>
                <w:iCs/>
              </w:rPr>
              <w:t>Hodson accounts confirm the following payments have been made:</w:t>
            </w:r>
          </w:p>
          <w:p w14:paraId="223CC918" w14:textId="77777777" w:rsidR="00F62688" w:rsidRPr="00EF3719" w:rsidRDefault="00F62688" w:rsidP="00D504A1">
            <w:pPr>
              <w:spacing w:after="0" w:line="240" w:lineRule="auto"/>
              <w:rPr>
                <w:i/>
                <w:iCs/>
              </w:rPr>
            </w:pPr>
            <w:r w:rsidRPr="00EF3719">
              <w:rPr>
                <w:i/>
                <w:iCs/>
              </w:rPr>
              <w:t>30/08/2018 Early Community Development (6 months from commencement) £50,000</w:t>
            </w:r>
          </w:p>
          <w:p w14:paraId="10FB68BA" w14:textId="77777777" w:rsidR="00F62688" w:rsidRPr="00EF3719" w:rsidRDefault="00F62688" w:rsidP="00D504A1">
            <w:pPr>
              <w:spacing w:after="0" w:line="240" w:lineRule="auto"/>
              <w:rPr>
                <w:i/>
                <w:iCs/>
              </w:rPr>
            </w:pPr>
            <w:r w:rsidRPr="00EF3719">
              <w:rPr>
                <w:i/>
                <w:iCs/>
              </w:rPr>
              <w:t>15/01/2021 Early Community Development (6 months from commencement) £50,000</w:t>
            </w:r>
          </w:p>
          <w:p w14:paraId="17ED543B" w14:textId="77777777" w:rsidR="00F62688" w:rsidRPr="00EF3719" w:rsidRDefault="00F62688" w:rsidP="00D504A1">
            <w:pPr>
              <w:spacing w:after="0" w:line="240" w:lineRule="auto"/>
              <w:rPr>
                <w:i/>
                <w:iCs/>
              </w:rPr>
            </w:pPr>
            <w:r w:rsidRPr="00EF3719">
              <w:rPr>
                <w:i/>
                <w:iCs/>
              </w:rPr>
              <w:t>06/03/2023 Early Community Development instalment 3, 4 and 5 was drawn down from ESCROW totalling £150,000.</w:t>
            </w:r>
          </w:p>
          <w:p w14:paraId="06C518CE" w14:textId="77777777" w:rsidR="00F62688" w:rsidRPr="00EF3719" w:rsidRDefault="00F62688" w:rsidP="00D504A1">
            <w:pPr>
              <w:spacing w:after="0" w:line="240" w:lineRule="auto"/>
              <w:rPr>
                <w:i/>
                <w:iCs/>
              </w:rPr>
            </w:pPr>
          </w:p>
          <w:p w14:paraId="5255413F" w14:textId="77777777" w:rsidR="00F62688" w:rsidRPr="00EF3719" w:rsidRDefault="00F62688" w:rsidP="00D504A1">
            <w:pPr>
              <w:spacing w:after="0" w:line="240" w:lineRule="auto"/>
              <w:rPr>
                <w:i/>
                <w:iCs/>
              </w:rPr>
            </w:pPr>
            <w:r w:rsidRPr="00EF3719">
              <w:rPr>
                <w:i/>
                <w:iCs/>
              </w:rPr>
              <w:t xml:space="preserve">As such a total of £250,000 has been paid. </w:t>
            </w:r>
          </w:p>
          <w:p w14:paraId="2BB4E062" w14:textId="77777777" w:rsidR="00F62688" w:rsidRPr="00EF3719" w:rsidRDefault="00F62688" w:rsidP="00D504A1">
            <w:pPr>
              <w:spacing w:after="0" w:line="240" w:lineRule="auto"/>
              <w:rPr>
                <w:i/>
                <w:iCs/>
              </w:rPr>
            </w:pPr>
          </w:p>
        </w:tc>
      </w:tr>
      <w:tr w:rsidR="00F62688" w:rsidRPr="00F62688" w14:paraId="60D830C5" w14:textId="77777777" w:rsidTr="00D504A1">
        <w:trPr>
          <w:trHeight w:val="250"/>
        </w:trPr>
        <w:tc>
          <w:tcPr>
            <w:tcW w:w="1809" w:type="dxa"/>
            <w:tcBorders>
              <w:top w:val="none" w:sz="6" w:space="0" w:color="auto"/>
              <w:bottom w:val="none" w:sz="6" w:space="0" w:color="auto"/>
              <w:right w:val="none" w:sz="6" w:space="0" w:color="auto"/>
            </w:tcBorders>
          </w:tcPr>
          <w:p w14:paraId="04C446A2" w14:textId="77777777" w:rsidR="00F62688" w:rsidRPr="00EF3719" w:rsidRDefault="00F62688" w:rsidP="00D504A1">
            <w:pPr>
              <w:spacing w:after="0" w:line="240" w:lineRule="auto"/>
              <w:rPr>
                <w:i/>
                <w:iCs/>
              </w:rPr>
            </w:pPr>
            <w:r w:rsidRPr="00EF3719">
              <w:rPr>
                <w:i/>
                <w:iCs/>
              </w:rPr>
              <w:lastRenderedPageBreak/>
              <w:t xml:space="preserve">Schedule 10 </w:t>
            </w:r>
          </w:p>
          <w:p w14:paraId="78D65E5C" w14:textId="77777777" w:rsidR="00F62688" w:rsidRPr="00EF3719" w:rsidRDefault="00F62688" w:rsidP="00D504A1">
            <w:pPr>
              <w:spacing w:after="0" w:line="240" w:lineRule="auto"/>
              <w:rPr>
                <w:i/>
                <w:iCs/>
              </w:rPr>
            </w:pPr>
            <w:r w:rsidRPr="00EF3719">
              <w:rPr>
                <w:i/>
                <w:iCs/>
              </w:rPr>
              <w:t xml:space="preserve">New paragraph 2.8 </w:t>
            </w:r>
          </w:p>
        </w:tc>
        <w:tc>
          <w:tcPr>
            <w:tcW w:w="1620" w:type="dxa"/>
            <w:tcBorders>
              <w:top w:val="none" w:sz="6" w:space="0" w:color="auto"/>
              <w:left w:val="none" w:sz="6" w:space="0" w:color="auto"/>
              <w:bottom w:val="none" w:sz="6" w:space="0" w:color="auto"/>
              <w:right w:val="none" w:sz="6" w:space="0" w:color="auto"/>
            </w:tcBorders>
          </w:tcPr>
          <w:p w14:paraId="52EEE163" w14:textId="77777777" w:rsidR="00F62688" w:rsidRPr="00EF3719" w:rsidRDefault="00F62688" w:rsidP="00D504A1">
            <w:pPr>
              <w:spacing w:after="0" w:line="240" w:lineRule="auto"/>
              <w:rPr>
                <w:i/>
                <w:iCs/>
              </w:rPr>
            </w:pPr>
            <w:r w:rsidRPr="00EF3719">
              <w:rPr>
                <w:i/>
                <w:iCs/>
              </w:rPr>
              <w:t xml:space="preserve">Discovery Park masterplan </w:t>
            </w:r>
          </w:p>
        </w:tc>
        <w:tc>
          <w:tcPr>
            <w:tcW w:w="1357" w:type="dxa"/>
            <w:tcBorders>
              <w:top w:val="none" w:sz="6" w:space="0" w:color="auto"/>
              <w:left w:val="none" w:sz="6" w:space="0" w:color="auto"/>
              <w:bottom w:val="none" w:sz="6" w:space="0" w:color="auto"/>
              <w:right w:val="none" w:sz="6" w:space="0" w:color="auto"/>
            </w:tcBorders>
          </w:tcPr>
          <w:p w14:paraId="31497772" w14:textId="77777777" w:rsidR="00F62688" w:rsidRPr="00EF3719" w:rsidRDefault="00F62688" w:rsidP="00D504A1">
            <w:pPr>
              <w:spacing w:after="0" w:line="240" w:lineRule="auto"/>
              <w:rPr>
                <w:i/>
                <w:iCs/>
              </w:rPr>
            </w:pPr>
            <w:r w:rsidRPr="00EF3719">
              <w:rPr>
                <w:i/>
                <w:iCs/>
              </w:rPr>
              <w:t xml:space="preserve">£20,000 </w:t>
            </w:r>
          </w:p>
        </w:tc>
        <w:tc>
          <w:tcPr>
            <w:tcW w:w="1559" w:type="dxa"/>
            <w:tcBorders>
              <w:top w:val="none" w:sz="6" w:space="0" w:color="auto"/>
              <w:left w:val="none" w:sz="6" w:space="0" w:color="auto"/>
              <w:bottom w:val="none" w:sz="6" w:space="0" w:color="auto"/>
            </w:tcBorders>
          </w:tcPr>
          <w:p w14:paraId="6A781A24" w14:textId="77777777" w:rsidR="00F62688" w:rsidRPr="00EF3719" w:rsidRDefault="00F62688" w:rsidP="00D504A1">
            <w:pPr>
              <w:spacing w:after="0" w:line="240" w:lineRule="auto"/>
              <w:rPr>
                <w:i/>
                <w:iCs/>
              </w:rPr>
            </w:pPr>
            <w:r w:rsidRPr="00EF3719">
              <w:rPr>
                <w:i/>
                <w:iCs/>
              </w:rPr>
              <w:t xml:space="preserve">£20,000 </w:t>
            </w:r>
          </w:p>
        </w:tc>
        <w:tc>
          <w:tcPr>
            <w:tcW w:w="3770" w:type="dxa"/>
            <w:tcBorders>
              <w:top w:val="none" w:sz="6" w:space="0" w:color="auto"/>
              <w:left w:val="none" w:sz="6" w:space="0" w:color="auto"/>
              <w:bottom w:val="none" w:sz="6" w:space="0" w:color="auto"/>
            </w:tcBorders>
          </w:tcPr>
          <w:p w14:paraId="1C8FCD18" w14:textId="7848A9BF" w:rsidR="00F62688" w:rsidRPr="00EF3719" w:rsidRDefault="00F62688" w:rsidP="00D504A1">
            <w:pPr>
              <w:spacing w:after="0" w:line="240" w:lineRule="auto"/>
              <w:rPr>
                <w:i/>
                <w:iCs/>
              </w:rPr>
            </w:pPr>
            <w:r w:rsidRPr="00EF3719">
              <w:rPr>
                <w:i/>
                <w:iCs/>
              </w:rPr>
              <w:t xml:space="preserve">Request 47 states “The Appellants apply for this obligation </w:t>
            </w:r>
            <w:r w:rsidR="00BE2A94" w:rsidRPr="00BE2A94">
              <w:rPr>
                <w:i/>
                <w:iCs/>
              </w:rPr>
              <w:t>to be</w:t>
            </w:r>
            <w:r w:rsidRPr="00BE2A94">
              <w:rPr>
                <w:i/>
                <w:iCs/>
              </w:rPr>
              <w:t xml:space="preserve"> </w:t>
            </w:r>
            <w:r w:rsidRPr="00EF3719">
              <w:rPr>
                <w:i/>
                <w:iCs/>
              </w:rPr>
              <w:t>Discharged and for the sum of £20,000 already paid to be refunded.”</w:t>
            </w:r>
          </w:p>
          <w:p w14:paraId="53BBC86A" w14:textId="77777777" w:rsidR="00F62688" w:rsidRPr="00EF3719" w:rsidRDefault="00F62688" w:rsidP="00D504A1">
            <w:pPr>
              <w:spacing w:after="0" w:line="240" w:lineRule="auto"/>
              <w:rPr>
                <w:i/>
                <w:iCs/>
              </w:rPr>
            </w:pPr>
            <w:r w:rsidRPr="00EF3719">
              <w:rPr>
                <w:i/>
                <w:iCs/>
              </w:rPr>
              <w:t xml:space="preserve"> The amended text in paragraph 2.8 states “The Council covenants with the Paying Owners to pay back to the Paying Owners the sum of £20,000 (…) already paid to the Council for the preparation of a masterplan for the Discovery Park …”</w:t>
            </w:r>
          </w:p>
          <w:p w14:paraId="66047B46" w14:textId="77777777" w:rsidR="00F62688" w:rsidRPr="00EF3719" w:rsidRDefault="00F62688" w:rsidP="00D504A1">
            <w:pPr>
              <w:spacing w:after="0" w:line="240" w:lineRule="auto"/>
              <w:rPr>
                <w:i/>
                <w:iCs/>
              </w:rPr>
            </w:pPr>
          </w:p>
          <w:p w14:paraId="54FA146E" w14:textId="77777777" w:rsidR="00F62688" w:rsidRPr="00EF3719" w:rsidRDefault="00F62688" w:rsidP="00D504A1">
            <w:pPr>
              <w:spacing w:after="0" w:line="240" w:lineRule="auto"/>
              <w:rPr>
                <w:i/>
                <w:iCs/>
              </w:rPr>
            </w:pPr>
            <w:r w:rsidRPr="00EF3719">
              <w:rPr>
                <w:i/>
                <w:iCs/>
              </w:rPr>
              <w:t xml:space="preserve">Hodson accounts confirm a payment of £20,000 was made on 04/10/2021 </w:t>
            </w:r>
            <w:proofErr w:type="spellStart"/>
            <w:r w:rsidRPr="00EF3719">
              <w:rPr>
                <w:i/>
                <w:iCs/>
              </w:rPr>
              <w:t>Masterplanning</w:t>
            </w:r>
            <w:proofErr w:type="spellEnd"/>
            <w:r w:rsidRPr="00EF3719">
              <w:rPr>
                <w:i/>
                <w:iCs/>
              </w:rPr>
              <w:t xml:space="preserve"> Discovery Park and Sports Hub and Pitches.</w:t>
            </w:r>
          </w:p>
          <w:p w14:paraId="18EE9E4C" w14:textId="77777777" w:rsidR="00F62688" w:rsidRPr="00EF3719" w:rsidRDefault="00F62688" w:rsidP="00D504A1">
            <w:pPr>
              <w:spacing w:after="0" w:line="240" w:lineRule="auto"/>
              <w:rPr>
                <w:i/>
                <w:iCs/>
              </w:rPr>
            </w:pPr>
          </w:p>
          <w:p w14:paraId="153B9763" w14:textId="77777777" w:rsidR="00F62688" w:rsidRPr="00EF3719" w:rsidRDefault="00F62688" w:rsidP="00D504A1">
            <w:pPr>
              <w:spacing w:after="0" w:line="240" w:lineRule="auto"/>
              <w:rPr>
                <w:i/>
                <w:iCs/>
              </w:rPr>
            </w:pPr>
            <w:r w:rsidRPr="00EF3719">
              <w:rPr>
                <w:i/>
                <w:iCs/>
              </w:rPr>
              <w:t>CD14/17 confirms the Appellant is no longer pursuing request 47.</w:t>
            </w:r>
          </w:p>
          <w:p w14:paraId="2A2B7946" w14:textId="77777777" w:rsidR="00F62688" w:rsidRPr="00EF3719" w:rsidRDefault="00F62688" w:rsidP="00D504A1">
            <w:pPr>
              <w:spacing w:after="0" w:line="240" w:lineRule="auto"/>
              <w:rPr>
                <w:i/>
                <w:iCs/>
              </w:rPr>
            </w:pPr>
          </w:p>
        </w:tc>
      </w:tr>
      <w:tr w:rsidR="00F62688" w:rsidRPr="00F62688" w14:paraId="695B6C4C" w14:textId="77777777" w:rsidTr="00D504A1">
        <w:trPr>
          <w:trHeight w:val="123"/>
        </w:trPr>
        <w:tc>
          <w:tcPr>
            <w:tcW w:w="1809" w:type="dxa"/>
            <w:tcBorders>
              <w:top w:val="none" w:sz="6" w:space="0" w:color="auto"/>
              <w:bottom w:val="none" w:sz="6" w:space="0" w:color="auto"/>
              <w:right w:val="none" w:sz="6" w:space="0" w:color="auto"/>
            </w:tcBorders>
          </w:tcPr>
          <w:p w14:paraId="60D3D433" w14:textId="77777777" w:rsidR="00F62688" w:rsidRPr="00EF3719" w:rsidRDefault="00F62688" w:rsidP="00D504A1">
            <w:pPr>
              <w:spacing w:after="0" w:line="240" w:lineRule="auto"/>
              <w:rPr>
                <w:i/>
                <w:iCs/>
              </w:rPr>
            </w:pPr>
            <w:r w:rsidRPr="00EF3719">
              <w:rPr>
                <w:i/>
                <w:iCs/>
              </w:rPr>
              <w:t xml:space="preserve">Schedule 24 </w:t>
            </w:r>
          </w:p>
          <w:p w14:paraId="3980922D" w14:textId="77777777" w:rsidR="00F62688" w:rsidRPr="00EF3719" w:rsidRDefault="00F62688" w:rsidP="00D504A1">
            <w:pPr>
              <w:spacing w:after="0" w:line="240" w:lineRule="auto"/>
              <w:rPr>
                <w:i/>
                <w:iCs/>
              </w:rPr>
            </w:pPr>
            <w:r w:rsidRPr="00EF3719">
              <w:rPr>
                <w:i/>
                <w:iCs/>
              </w:rPr>
              <w:t>New Paragraph 3</w:t>
            </w:r>
          </w:p>
        </w:tc>
        <w:tc>
          <w:tcPr>
            <w:tcW w:w="1620" w:type="dxa"/>
            <w:tcBorders>
              <w:top w:val="none" w:sz="6" w:space="0" w:color="auto"/>
              <w:left w:val="none" w:sz="6" w:space="0" w:color="auto"/>
              <w:bottom w:val="none" w:sz="6" w:space="0" w:color="auto"/>
              <w:right w:val="none" w:sz="6" w:space="0" w:color="auto"/>
            </w:tcBorders>
          </w:tcPr>
          <w:p w14:paraId="1474A689" w14:textId="77777777" w:rsidR="00F62688" w:rsidRPr="00EF3719" w:rsidRDefault="00F62688" w:rsidP="00D504A1">
            <w:pPr>
              <w:spacing w:after="0" w:line="240" w:lineRule="auto"/>
              <w:rPr>
                <w:i/>
                <w:iCs/>
              </w:rPr>
            </w:pPr>
            <w:r w:rsidRPr="00EF3719">
              <w:rPr>
                <w:i/>
                <w:iCs/>
              </w:rPr>
              <w:t xml:space="preserve">Public Art </w:t>
            </w:r>
          </w:p>
        </w:tc>
        <w:tc>
          <w:tcPr>
            <w:tcW w:w="1357" w:type="dxa"/>
            <w:tcBorders>
              <w:top w:val="none" w:sz="6" w:space="0" w:color="auto"/>
              <w:left w:val="none" w:sz="6" w:space="0" w:color="auto"/>
              <w:bottom w:val="none" w:sz="6" w:space="0" w:color="auto"/>
              <w:right w:val="none" w:sz="6" w:space="0" w:color="auto"/>
            </w:tcBorders>
          </w:tcPr>
          <w:p w14:paraId="5A25959B" w14:textId="749321D3" w:rsidR="00F62688" w:rsidRPr="00EF3719" w:rsidRDefault="00F62688" w:rsidP="00D504A1">
            <w:pPr>
              <w:spacing w:after="0" w:line="240" w:lineRule="auto"/>
              <w:rPr>
                <w:i/>
                <w:iCs/>
              </w:rPr>
            </w:pPr>
            <w:r w:rsidRPr="00EF3719">
              <w:rPr>
                <w:i/>
                <w:iCs/>
              </w:rPr>
              <w:t xml:space="preserve">£150,000 </w:t>
            </w:r>
          </w:p>
        </w:tc>
        <w:tc>
          <w:tcPr>
            <w:tcW w:w="1559" w:type="dxa"/>
            <w:tcBorders>
              <w:top w:val="none" w:sz="6" w:space="0" w:color="auto"/>
              <w:left w:val="none" w:sz="6" w:space="0" w:color="auto"/>
              <w:bottom w:val="none" w:sz="6" w:space="0" w:color="auto"/>
            </w:tcBorders>
          </w:tcPr>
          <w:p w14:paraId="6EE95238" w14:textId="77777777" w:rsidR="00F62688" w:rsidRPr="00EF3719" w:rsidRDefault="00F62688" w:rsidP="00D504A1">
            <w:pPr>
              <w:spacing w:after="0" w:line="240" w:lineRule="auto"/>
              <w:rPr>
                <w:i/>
                <w:iCs/>
              </w:rPr>
            </w:pPr>
            <w:r w:rsidRPr="00EF3719">
              <w:rPr>
                <w:i/>
                <w:iCs/>
              </w:rPr>
              <w:t xml:space="preserve">£169,672.12 </w:t>
            </w:r>
          </w:p>
        </w:tc>
        <w:tc>
          <w:tcPr>
            <w:tcW w:w="3770" w:type="dxa"/>
            <w:tcBorders>
              <w:top w:val="none" w:sz="6" w:space="0" w:color="auto"/>
              <w:left w:val="none" w:sz="6" w:space="0" w:color="auto"/>
              <w:bottom w:val="none" w:sz="6" w:space="0" w:color="auto"/>
            </w:tcBorders>
          </w:tcPr>
          <w:p w14:paraId="0804124D" w14:textId="10C06430" w:rsidR="00F62688" w:rsidRPr="00EF3719" w:rsidRDefault="00F62688" w:rsidP="00D504A1">
            <w:pPr>
              <w:spacing w:after="0" w:line="240" w:lineRule="auto"/>
              <w:rPr>
                <w:i/>
                <w:iCs/>
              </w:rPr>
            </w:pPr>
            <w:r w:rsidRPr="00EF3719">
              <w:rPr>
                <w:i/>
                <w:iCs/>
              </w:rPr>
              <w:t>Request 105 states “The Appellants apply to Discharge this obligation and for the sum of £50,</w:t>
            </w:r>
            <w:r w:rsidRPr="00BE2A94">
              <w:rPr>
                <w:i/>
                <w:iCs/>
              </w:rPr>
              <w:t xml:space="preserve">000 </w:t>
            </w:r>
            <w:proofErr w:type="gramStart"/>
            <w:r w:rsidR="009F1216">
              <w:rPr>
                <w:i/>
                <w:iCs/>
              </w:rPr>
              <w:t>( typographical</w:t>
            </w:r>
            <w:proofErr w:type="gramEnd"/>
            <w:r w:rsidR="009F1216">
              <w:rPr>
                <w:i/>
                <w:iCs/>
              </w:rPr>
              <w:t xml:space="preserve"> error should be £150,000 as stated by the </w:t>
            </w:r>
            <w:proofErr w:type="gramStart"/>
            <w:r w:rsidR="009F1216">
              <w:rPr>
                <w:i/>
                <w:iCs/>
              </w:rPr>
              <w:t>Council  )</w:t>
            </w:r>
            <w:proofErr w:type="gramEnd"/>
            <w:r w:rsidR="009F1216">
              <w:rPr>
                <w:i/>
                <w:iCs/>
              </w:rPr>
              <w:t xml:space="preserve"> </w:t>
            </w:r>
            <w:r w:rsidRPr="00EF3719">
              <w:rPr>
                <w:i/>
                <w:iCs/>
              </w:rPr>
              <w:t xml:space="preserve">already paid to be refunded. </w:t>
            </w:r>
          </w:p>
          <w:p w14:paraId="1F3ED370" w14:textId="77777777" w:rsidR="00F62688" w:rsidRPr="00EF3719" w:rsidRDefault="00F62688" w:rsidP="00D504A1">
            <w:pPr>
              <w:spacing w:after="0" w:line="240" w:lineRule="auto"/>
              <w:rPr>
                <w:i/>
                <w:iCs/>
              </w:rPr>
            </w:pPr>
          </w:p>
          <w:p w14:paraId="484243C2" w14:textId="77777777" w:rsidR="00F62688" w:rsidRPr="00EF3719" w:rsidRDefault="00F62688" w:rsidP="00D504A1">
            <w:pPr>
              <w:spacing w:after="0" w:line="240" w:lineRule="auto"/>
              <w:rPr>
                <w:i/>
                <w:iCs/>
              </w:rPr>
            </w:pPr>
            <w:r w:rsidRPr="00EF3719">
              <w:rPr>
                <w:i/>
                <w:iCs/>
              </w:rPr>
              <w:t>The amended text in paragraph 3 states “The Council covenants with the Owners to pay back to the Paying Owners the sum of £169,672.12 (…) towards Public Art already paid to the Council prior to Commencement within 28 days.”</w:t>
            </w:r>
          </w:p>
          <w:p w14:paraId="312E3BAD" w14:textId="77777777" w:rsidR="00F62688" w:rsidRPr="00EF3719" w:rsidRDefault="00F62688" w:rsidP="00D504A1">
            <w:pPr>
              <w:spacing w:after="0" w:line="240" w:lineRule="auto"/>
              <w:rPr>
                <w:i/>
                <w:iCs/>
              </w:rPr>
            </w:pPr>
          </w:p>
          <w:p w14:paraId="55B4194A" w14:textId="77777777" w:rsidR="00F62688" w:rsidRPr="00EF3719" w:rsidRDefault="00F62688" w:rsidP="00D504A1">
            <w:pPr>
              <w:spacing w:after="0" w:line="240" w:lineRule="auto"/>
              <w:rPr>
                <w:i/>
                <w:iCs/>
              </w:rPr>
            </w:pPr>
            <w:r w:rsidRPr="00EF3719">
              <w:rPr>
                <w:i/>
                <w:iCs/>
              </w:rPr>
              <w:t>Hodson accounts confirms the following payments were made:</w:t>
            </w:r>
          </w:p>
          <w:p w14:paraId="793B039F" w14:textId="77777777" w:rsidR="00F62688" w:rsidRPr="00EF3719" w:rsidRDefault="00F62688" w:rsidP="00D504A1">
            <w:pPr>
              <w:spacing w:after="0" w:line="240" w:lineRule="auto"/>
              <w:rPr>
                <w:i/>
                <w:iCs/>
              </w:rPr>
            </w:pPr>
            <w:r w:rsidRPr="00EF3719">
              <w:rPr>
                <w:i/>
                <w:iCs/>
              </w:rPr>
              <w:t>17/03/2017 Public Art Contribution 1 £50,000</w:t>
            </w:r>
          </w:p>
          <w:p w14:paraId="6806DF7F" w14:textId="77777777" w:rsidR="00F62688" w:rsidRPr="00EF3719" w:rsidRDefault="00F62688" w:rsidP="00D504A1">
            <w:pPr>
              <w:spacing w:after="0" w:line="240" w:lineRule="auto"/>
              <w:rPr>
                <w:i/>
                <w:iCs/>
              </w:rPr>
            </w:pPr>
            <w:r w:rsidRPr="00EF3719">
              <w:rPr>
                <w:i/>
                <w:iCs/>
              </w:rPr>
              <w:t>06/03/2023 Public Art contribution 2 £100,000 withdrawn from ESCROW.</w:t>
            </w:r>
          </w:p>
          <w:p w14:paraId="6AB90B56" w14:textId="77777777" w:rsidR="00F62688" w:rsidRPr="00EF3719" w:rsidRDefault="00F62688" w:rsidP="00D504A1">
            <w:pPr>
              <w:spacing w:after="0" w:line="240" w:lineRule="auto"/>
              <w:rPr>
                <w:i/>
                <w:iCs/>
              </w:rPr>
            </w:pPr>
          </w:p>
          <w:p w14:paraId="57F4DA47" w14:textId="77777777" w:rsidR="00F62688" w:rsidRPr="00EF3719" w:rsidRDefault="00F62688" w:rsidP="00D504A1">
            <w:pPr>
              <w:spacing w:after="0" w:line="240" w:lineRule="auto"/>
              <w:rPr>
                <w:i/>
                <w:iCs/>
              </w:rPr>
            </w:pPr>
            <w:r w:rsidRPr="00EF3719">
              <w:rPr>
                <w:i/>
                <w:iCs/>
              </w:rPr>
              <w:t>As such a total of £150,000 has been paid.</w:t>
            </w:r>
          </w:p>
          <w:p w14:paraId="6766AF2E" w14:textId="77777777" w:rsidR="00F62688" w:rsidRPr="00EF3719" w:rsidRDefault="00F62688" w:rsidP="00D504A1">
            <w:pPr>
              <w:spacing w:after="0" w:line="240" w:lineRule="auto"/>
              <w:rPr>
                <w:i/>
                <w:iCs/>
              </w:rPr>
            </w:pPr>
          </w:p>
        </w:tc>
      </w:tr>
      <w:tr w:rsidR="00F62688" w:rsidRPr="00F62688" w14:paraId="35405FFB" w14:textId="77777777" w:rsidTr="00D504A1">
        <w:trPr>
          <w:trHeight w:val="123"/>
        </w:trPr>
        <w:tc>
          <w:tcPr>
            <w:tcW w:w="1809" w:type="dxa"/>
            <w:tcBorders>
              <w:top w:val="none" w:sz="6" w:space="0" w:color="auto"/>
              <w:bottom w:val="none" w:sz="6" w:space="0" w:color="auto"/>
              <w:right w:val="none" w:sz="6" w:space="0" w:color="auto"/>
            </w:tcBorders>
          </w:tcPr>
          <w:p w14:paraId="735691B9" w14:textId="77777777" w:rsidR="00F62688" w:rsidRPr="00EF3719" w:rsidRDefault="00F62688" w:rsidP="00D504A1">
            <w:pPr>
              <w:spacing w:after="0" w:line="240" w:lineRule="auto"/>
              <w:rPr>
                <w:i/>
                <w:iCs/>
              </w:rPr>
            </w:pPr>
            <w:r w:rsidRPr="00EF3719">
              <w:rPr>
                <w:i/>
                <w:iCs/>
              </w:rPr>
              <w:t>Schedule 26</w:t>
            </w:r>
          </w:p>
          <w:p w14:paraId="5B21588C" w14:textId="77777777" w:rsidR="00F62688" w:rsidRPr="00EF3719" w:rsidRDefault="00F62688" w:rsidP="00D504A1">
            <w:pPr>
              <w:spacing w:after="0" w:line="240" w:lineRule="auto"/>
              <w:rPr>
                <w:i/>
                <w:iCs/>
              </w:rPr>
            </w:pPr>
            <w:r w:rsidRPr="00EF3719">
              <w:rPr>
                <w:i/>
                <w:iCs/>
              </w:rPr>
              <w:t>New Paragraph 1</w:t>
            </w:r>
          </w:p>
        </w:tc>
        <w:tc>
          <w:tcPr>
            <w:tcW w:w="1620" w:type="dxa"/>
            <w:tcBorders>
              <w:top w:val="none" w:sz="6" w:space="0" w:color="auto"/>
              <w:left w:val="none" w:sz="6" w:space="0" w:color="auto"/>
              <w:bottom w:val="none" w:sz="6" w:space="0" w:color="auto"/>
              <w:right w:val="none" w:sz="6" w:space="0" w:color="auto"/>
            </w:tcBorders>
          </w:tcPr>
          <w:p w14:paraId="294ED3E5" w14:textId="77777777" w:rsidR="00F62688" w:rsidRPr="00EF3719" w:rsidRDefault="00F62688" w:rsidP="00D504A1">
            <w:pPr>
              <w:spacing w:after="0" w:line="240" w:lineRule="auto"/>
              <w:rPr>
                <w:i/>
                <w:iCs/>
              </w:rPr>
            </w:pPr>
            <w:r w:rsidRPr="00EF3719">
              <w:rPr>
                <w:i/>
                <w:iCs/>
              </w:rPr>
              <w:t>Quality Agreement</w:t>
            </w:r>
          </w:p>
        </w:tc>
        <w:tc>
          <w:tcPr>
            <w:tcW w:w="1357" w:type="dxa"/>
            <w:tcBorders>
              <w:top w:val="none" w:sz="6" w:space="0" w:color="auto"/>
              <w:left w:val="none" w:sz="6" w:space="0" w:color="auto"/>
              <w:bottom w:val="none" w:sz="6" w:space="0" w:color="auto"/>
              <w:right w:val="none" w:sz="6" w:space="0" w:color="auto"/>
            </w:tcBorders>
          </w:tcPr>
          <w:p w14:paraId="5023B449" w14:textId="77777777" w:rsidR="00F62688" w:rsidRPr="00EF3719" w:rsidRDefault="00F62688" w:rsidP="00D504A1">
            <w:pPr>
              <w:spacing w:after="0" w:line="240" w:lineRule="auto"/>
              <w:rPr>
                <w:i/>
                <w:iCs/>
              </w:rPr>
            </w:pPr>
            <w:r w:rsidRPr="00EF3719">
              <w:rPr>
                <w:i/>
                <w:iCs/>
              </w:rPr>
              <w:t>£200,000</w:t>
            </w:r>
          </w:p>
        </w:tc>
        <w:tc>
          <w:tcPr>
            <w:tcW w:w="1559" w:type="dxa"/>
            <w:tcBorders>
              <w:top w:val="none" w:sz="6" w:space="0" w:color="auto"/>
              <w:left w:val="none" w:sz="6" w:space="0" w:color="auto"/>
              <w:bottom w:val="none" w:sz="6" w:space="0" w:color="auto"/>
            </w:tcBorders>
          </w:tcPr>
          <w:p w14:paraId="04C821ED" w14:textId="77777777" w:rsidR="00F62688" w:rsidRPr="00EF3719" w:rsidRDefault="00F62688" w:rsidP="00D504A1">
            <w:pPr>
              <w:spacing w:after="0" w:line="240" w:lineRule="auto"/>
              <w:rPr>
                <w:i/>
                <w:iCs/>
              </w:rPr>
            </w:pPr>
            <w:r w:rsidRPr="00EF3719">
              <w:rPr>
                <w:i/>
                <w:iCs/>
              </w:rPr>
              <w:t>£157,297.30</w:t>
            </w:r>
          </w:p>
        </w:tc>
        <w:tc>
          <w:tcPr>
            <w:tcW w:w="3770" w:type="dxa"/>
            <w:tcBorders>
              <w:top w:val="none" w:sz="6" w:space="0" w:color="auto"/>
              <w:left w:val="none" w:sz="6" w:space="0" w:color="auto"/>
              <w:bottom w:val="none" w:sz="6" w:space="0" w:color="auto"/>
            </w:tcBorders>
          </w:tcPr>
          <w:p w14:paraId="0CCA2691" w14:textId="77777777" w:rsidR="00F62688" w:rsidRPr="00EF3719" w:rsidRDefault="00F62688" w:rsidP="00D504A1">
            <w:pPr>
              <w:spacing w:after="0" w:line="240" w:lineRule="auto"/>
              <w:rPr>
                <w:i/>
                <w:iCs/>
              </w:rPr>
            </w:pPr>
            <w:r w:rsidRPr="00EF3719">
              <w:rPr>
                <w:i/>
                <w:iCs/>
              </w:rPr>
              <w:t xml:space="preserve">Request 111 states “The Appellants apply for paragraphs 1, 2.1, 2.2, and 2.3 to 2.21 and the payments therein to be Discharged (without prejudice to the contention that properly construed the </w:t>
            </w:r>
            <w:r w:rsidRPr="00EF3719">
              <w:rPr>
                <w:i/>
                <w:iCs/>
              </w:rPr>
              <w:lastRenderedPageBreak/>
              <w:t>payments at 2.1 and 2.2 are not due in any event in addition to the payments under paragraphs 1 and 2.3 to 2.21) and for payments already made to be refunded.</w:t>
            </w:r>
          </w:p>
          <w:p w14:paraId="42363542" w14:textId="77777777" w:rsidR="00F62688" w:rsidRPr="00EF3719" w:rsidRDefault="00F62688" w:rsidP="00D504A1">
            <w:pPr>
              <w:spacing w:after="0" w:line="240" w:lineRule="auto"/>
              <w:rPr>
                <w:i/>
                <w:iCs/>
              </w:rPr>
            </w:pPr>
          </w:p>
          <w:p w14:paraId="34A601BD" w14:textId="77777777" w:rsidR="00F62688" w:rsidRPr="00EF3719" w:rsidRDefault="00F62688" w:rsidP="00D504A1">
            <w:pPr>
              <w:spacing w:after="0" w:line="240" w:lineRule="auto"/>
              <w:rPr>
                <w:i/>
                <w:iCs/>
              </w:rPr>
            </w:pPr>
            <w:r w:rsidRPr="00EF3719">
              <w:rPr>
                <w:i/>
                <w:iCs/>
              </w:rPr>
              <w:t>The amended text to paragraph 1 states “The Council covenants with the Paying Owners to pay back to the Paying Owners the sum of £157,297.30 (…) being the Quality Agreement payments already paid to the Council within 28 days.</w:t>
            </w:r>
          </w:p>
          <w:p w14:paraId="5F9D848D" w14:textId="77777777" w:rsidR="00F62688" w:rsidRPr="00EF3719" w:rsidRDefault="00F62688" w:rsidP="00D504A1">
            <w:pPr>
              <w:spacing w:after="0" w:line="240" w:lineRule="auto"/>
              <w:rPr>
                <w:i/>
                <w:iCs/>
              </w:rPr>
            </w:pPr>
          </w:p>
          <w:p w14:paraId="38F30DB5" w14:textId="77777777" w:rsidR="00F62688" w:rsidRPr="00EF3719" w:rsidRDefault="00F62688" w:rsidP="00D504A1">
            <w:pPr>
              <w:spacing w:after="0" w:line="240" w:lineRule="auto"/>
              <w:rPr>
                <w:i/>
                <w:iCs/>
              </w:rPr>
            </w:pPr>
            <w:r w:rsidRPr="00EF3719">
              <w:rPr>
                <w:i/>
                <w:iCs/>
              </w:rPr>
              <w:t>Hodson accounts confirm the following payments were made:</w:t>
            </w:r>
          </w:p>
          <w:p w14:paraId="5F61B597" w14:textId="77777777" w:rsidR="00F62688" w:rsidRPr="00EF3719" w:rsidRDefault="00F62688" w:rsidP="00D504A1">
            <w:pPr>
              <w:spacing w:after="0" w:line="240" w:lineRule="auto"/>
              <w:rPr>
                <w:i/>
                <w:iCs/>
              </w:rPr>
            </w:pPr>
            <w:r w:rsidRPr="00EF3719">
              <w:rPr>
                <w:i/>
                <w:iCs/>
              </w:rPr>
              <w:t>30/08/2018 Quality Agreement (Commencement + 12 months) Contribution £80,000</w:t>
            </w:r>
          </w:p>
          <w:p w14:paraId="42803DB8" w14:textId="77777777" w:rsidR="00F62688" w:rsidRPr="00EF3719" w:rsidRDefault="00F62688" w:rsidP="00D504A1">
            <w:pPr>
              <w:spacing w:after="0" w:line="240" w:lineRule="auto"/>
              <w:rPr>
                <w:i/>
                <w:iCs/>
              </w:rPr>
            </w:pPr>
            <w:r w:rsidRPr="00EF3719">
              <w:rPr>
                <w:i/>
                <w:iCs/>
              </w:rPr>
              <w:t>06/03/2023 Quality Monitoring fee instalments 2 to 5 totalling £120,000 was withdrawn from ESCROW.</w:t>
            </w:r>
          </w:p>
          <w:p w14:paraId="4CCC89D8" w14:textId="77777777" w:rsidR="00F62688" w:rsidRPr="00EF3719" w:rsidRDefault="00F62688" w:rsidP="00D504A1">
            <w:pPr>
              <w:spacing w:after="0" w:line="240" w:lineRule="auto"/>
              <w:rPr>
                <w:i/>
                <w:iCs/>
              </w:rPr>
            </w:pPr>
          </w:p>
          <w:p w14:paraId="5DD100AE" w14:textId="77777777" w:rsidR="00F62688" w:rsidRPr="00EF3719" w:rsidRDefault="00F62688" w:rsidP="00D504A1">
            <w:pPr>
              <w:spacing w:after="0" w:line="240" w:lineRule="auto"/>
              <w:rPr>
                <w:i/>
                <w:iCs/>
              </w:rPr>
            </w:pPr>
            <w:r w:rsidRPr="00EF3719">
              <w:rPr>
                <w:i/>
                <w:iCs/>
              </w:rPr>
              <w:t>As such a total of £200,000 has been paid.</w:t>
            </w:r>
          </w:p>
          <w:p w14:paraId="3613EB8D" w14:textId="77777777" w:rsidR="00F62688" w:rsidRPr="00EF3719" w:rsidRDefault="00F62688" w:rsidP="00D504A1">
            <w:pPr>
              <w:spacing w:after="0" w:line="240" w:lineRule="auto"/>
              <w:rPr>
                <w:i/>
                <w:iCs/>
              </w:rPr>
            </w:pPr>
          </w:p>
        </w:tc>
      </w:tr>
      <w:tr w:rsidR="00F62688" w:rsidRPr="00F62688" w14:paraId="4B2EC9DC" w14:textId="77777777" w:rsidTr="00D504A1">
        <w:trPr>
          <w:trHeight w:val="123"/>
        </w:trPr>
        <w:tc>
          <w:tcPr>
            <w:tcW w:w="1809" w:type="dxa"/>
            <w:tcBorders>
              <w:top w:val="none" w:sz="6" w:space="0" w:color="auto"/>
              <w:bottom w:val="none" w:sz="6" w:space="0" w:color="auto"/>
              <w:right w:val="none" w:sz="6" w:space="0" w:color="auto"/>
            </w:tcBorders>
          </w:tcPr>
          <w:p w14:paraId="01AEFF46" w14:textId="77777777" w:rsidR="00F62688" w:rsidRPr="00EF3719" w:rsidRDefault="00F62688" w:rsidP="00D504A1">
            <w:pPr>
              <w:spacing w:after="0" w:line="240" w:lineRule="auto"/>
              <w:rPr>
                <w:i/>
                <w:iCs/>
              </w:rPr>
            </w:pPr>
            <w:r w:rsidRPr="00EF3719">
              <w:rPr>
                <w:i/>
                <w:iCs/>
              </w:rPr>
              <w:lastRenderedPageBreak/>
              <w:t>Schedule 28</w:t>
            </w:r>
          </w:p>
          <w:p w14:paraId="3183C0CD" w14:textId="77777777" w:rsidR="00F62688" w:rsidRPr="00EF3719" w:rsidRDefault="00F62688" w:rsidP="00D504A1">
            <w:pPr>
              <w:spacing w:after="0" w:line="240" w:lineRule="auto"/>
              <w:rPr>
                <w:i/>
                <w:iCs/>
              </w:rPr>
            </w:pPr>
            <w:r w:rsidRPr="00EF3719">
              <w:rPr>
                <w:i/>
                <w:iCs/>
              </w:rPr>
              <w:t>New Paragraph 5</w:t>
            </w:r>
          </w:p>
        </w:tc>
        <w:tc>
          <w:tcPr>
            <w:tcW w:w="1620" w:type="dxa"/>
            <w:tcBorders>
              <w:top w:val="none" w:sz="6" w:space="0" w:color="auto"/>
              <w:left w:val="none" w:sz="6" w:space="0" w:color="auto"/>
              <w:bottom w:val="none" w:sz="6" w:space="0" w:color="auto"/>
              <w:right w:val="none" w:sz="6" w:space="0" w:color="auto"/>
            </w:tcBorders>
          </w:tcPr>
          <w:p w14:paraId="26883DEF" w14:textId="77777777" w:rsidR="00F62688" w:rsidRPr="00EF3719" w:rsidRDefault="00F62688" w:rsidP="00D504A1">
            <w:pPr>
              <w:spacing w:after="0" w:line="240" w:lineRule="auto"/>
              <w:rPr>
                <w:i/>
                <w:iCs/>
              </w:rPr>
            </w:pPr>
            <w:r w:rsidRPr="00EF3719">
              <w:rPr>
                <w:i/>
                <w:iCs/>
              </w:rPr>
              <w:t>Monitoring Fee</w:t>
            </w:r>
          </w:p>
        </w:tc>
        <w:tc>
          <w:tcPr>
            <w:tcW w:w="1357" w:type="dxa"/>
            <w:tcBorders>
              <w:top w:val="none" w:sz="6" w:space="0" w:color="auto"/>
              <w:left w:val="none" w:sz="6" w:space="0" w:color="auto"/>
              <w:bottom w:val="none" w:sz="6" w:space="0" w:color="auto"/>
              <w:right w:val="none" w:sz="6" w:space="0" w:color="auto"/>
            </w:tcBorders>
          </w:tcPr>
          <w:p w14:paraId="53BCD2EA" w14:textId="77777777" w:rsidR="00F62688" w:rsidRPr="00EF3719" w:rsidRDefault="00F62688" w:rsidP="00D504A1">
            <w:pPr>
              <w:spacing w:after="0" w:line="240" w:lineRule="auto"/>
              <w:rPr>
                <w:i/>
                <w:iCs/>
              </w:rPr>
            </w:pPr>
            <w:r w:rsidRPr="00EF3719">
              <w:rPr>
                <w:i/>
                <w:iCs/>
              </w:rPr>
              <w:t>£125,000</w:t>
            </w:r>
          </w:p>
        </w:tc>
        <w:tc>
          <w:tcPr>
            <w:tcW w:w="1559" w:type="dxa"/>
            <w:tcBorders>
              <w:top w:val="none" w:sz="6" w:space="0" w:color="auto"/>
              <w:left w:val="none" w:sz="6" w:space="0" w:color="auto"/>
              <w:bottom w:val="none" w:sz="6" w:space="0" w:color="auto"/>
            </w:tcBorders>
          </w:tcPr>
          <w:p w14:paraId="0DF433BA" w14:textId="77777777" w:rsidR="00F62688" w:rsidRPr="00EF3719" w:rsidRDefault="00F62688" w:rsidP="00D504A1">
            <w:pPr>
              <w:spacing w:after="0" w:line="240" w:lineRule="auto"/>
              <w:rPr>
                <w:i/>
                <w:iCs/>
              </w:rPr>
            </w:pPr>
            <w:r w:rsidRPr="00EF3719">
              <w:rPr>
                <w:i/>
                <w:iCs/>
              </w:rPr>
              <w:t>£110,810.80</w:t>
            </w:r>
          </w:p>
        </w:tc>
        <w:tc>
          <w:tcPr>
            <w:tcW w:w="3770" w:type="dxa"/>
            <w:tcBorders>
              <w:top w:val="none" w:sz="6" w:space="0" w:color="auto"/>
              <w:left w:val="none" w:sz="6" w:space="0" w:color="auto"/>
              <w:bottom w:val="none" w:sz="6" w:space="0" w:color="auto"/>
            </w:tcBorders>
          </w:tcPr>
          <w:p w14:paraId="6C711C71" w14:textId="77777777" w:rsidR="00F62688" w:rsidRPr="00EF3719" w:rsidRDefault="00F62688" w:rsidP="00D504A1">
            <w:pPr>
              <w:spacing w:after="0" w:line="240" w:lineRule="auto"/>
              <w:rPr>
                <w:i/>
                <w:iCs/>
              </w:rPr>
            </w:pPr>
            <w:r w:rsidRPr="00EF3719">
              <w:rPr>
                <w:i/>
                <w:iCs/>
              </w:rPr>
              <w:t xml:space="preserve">Request 112 states “The Appellants apply for paragraph 2.2 and the anniversary payments thereunder to be </w:t>
            </w:r>
            <w:proofErr w:type="gramStart"/>
            <w:r w:rsidRPr="00EF3719">
              <w:rPr>
                <w:i/>
                <w:iCs/>
              </w:rPr>
              <w:t>deleted</w:t>
            </w:r>
            <w:proofErr w:type="gramEnd"/>
            <w:r w:rsidRPr="00EF3719">
              <w:rPr>
                <w:i/>
                <w:iCs/>
              </w:rPr>
              <w:t xml:space="preserve"> and these obligations Discharged and for payments already made to be refunded (without prejudice to the contention that properly construed the payments at 2.1 and 2.2 are not due in any event in addition to the payments under paragraphs 1 and 2.3 to 2.21”</w:t>
            </w:r>
          </w:p>
          <w:p w14:paraId="4A5D0BE4" w14:textId="77777777" w:rsidR="00F62688" w:rsidRPr="00EF3719" w:rsidRDefault="00F62688" w:rsidP="00D504A1">
            <w:pPr>
              <w:spacing w:after="0" w:line="240" w:lineRule="auto"/>
              <w:rPr>
                <w:i/>
                <w:iCs/>
              </w:rPr>
            </w:pPr>
          </w:p>
          <w:p w14:paraId="6E9E18F2" w14:textId="5FF57AEE" w:rsidR="00F62688" w:rsidRPr="00EF3719" w:rsidRDefault="00F62688" w:rsidP="00D504A1">
            <w:pPr>
              <w:spacing w:after="0" w:line="240" w:lineRule="auto"/>
              <w:rPr>
                <w:i/>
                <w:iCs/>
              </w:rPr>
            </w:pPr>
            <w:r w:rsidRPr="00EF3719">
              <w:rPr>
                <w:i/>
                <w:iCs/>
              </w:rPr>
              <w:t>New paragraph 5 states “The Council covenants</w:t>
            </w:r>
            <w:r w:rsidR="00A95555">
              <w:rPr>
                <w:i/>
                <w:iCs/>
              </w:rPr>
              <w:t xml:space="preserve"> </w:t>
            </w:r>
            <w:r w:rsidRPr="00EF3719">
              <w:rPr>
                <w:i/>
                <w:iCs/>
              </w:rPr>
              <w:t>with the Paying Owners to pay back to the Paying Owners the sum of £110,810.80 (…) being the monitoring payments triggered on the anniversary of Commencement of the Development already paid to the Council within 28 days.</w:t>
            </w:r>
          </w:p>
          <w:p w14:paraId="422FE411" w14:textId="77777777" w:rsidR="00F62688" w:rsidRPr="00EF3719" w:rsidRDefault="00F62688" w:rsidP="00D504A1">
            <w:pPr>
              <w:spacing w:after="0" w:line="240" w:lineRule="auto"/>
              <w:rPr>
                <w:i/>
                <w:iCs/>
              </w:rPr>
            </w:pPr>
          </w:p>
          <w:p w14:paraId="424D263C" w14:textId="77777777" w:rsidR="00F62688" w:rsidRPr="00EF3719" w:rsidRDefault="00F62688" w:rsidP="00D504A1">
            <w:pPr>
              <w:spacing w:after="0" w:line="240" w:lineRule="auto"/>
              <w:rPr>
                <w:i/>
                <w:iCs/>
              </w:rPr>
            </w:pPr>
            <w:r w:rsidRPr="00EF3719">
              <w:rPr>
                <w:i/>
                <w:iCs/>
              </w:rPr>
              <w:t>Hodson accounts confirms the following payments were made:</w:t>
            </w:r>
          </w:p>
          <w:p w14:paraId="24C09F45" w14:textId="77777777" w:rsidR="00F62688" w:rsidRPr="00EF3719" w:rsidRDefault="00F62688" w:rsidP="00D504A1">
            <w:pPr>
              <w:spacing w:after="0" w:line="240" w:lineRule="auto"/>
              <w:rPr>
                <w:i/>
                <w:iCs/>
              </w:rPr>
            </w:pPr>
            <w:r w:rsidRPr="00EF3719">
              <w:rPr>
                <w:i/>
                <w:iCs/>
              </w:rPr>
              <w:lastRenderedPageBreak/>
              <w:t>30/08/2018 Monitoring Fee (Commencement + 12 months_ Contribution £50,000</w:t>
            </w:r>
          </w:p>
          <w:p w14:paraId="0CAADAE2" w14:textId="77777777" w:rsidR="00F62688" w:rsidRPr="00EF3719" w:rsidRDefault="00F62688" w:rsidP="00D504A1">
            <w:pPr>
              <w:spacing w:after="0" w:line="240" w:lineRule="auto"/>
              <w:rPr>
                <w:i/>
                <w:iCs/>
              </w:rPr>
            </w:pPr>
            <w:r w:rsidRPr="00EF3719">
              <w:rPr>
                <w:i/>
                <w:iCs/>
              </w:rPr>
              <w:t>20/02/202 Monitoring Fee instalment 2 £12,500</w:t>
            </w:r>
          </w:p>
          <w:p w14:paraId="119BC827" w14:textId="77777777" w:rsidR="00F62688" w:rsidRPr="00EF3719" w:rsidRDefault="00F62688" w:rsidP="00D504A1">
            <w:pPr>
              <w:spacing w:after="0" w:line="240" w:lineRule="auto"/>
              <w:rPr>
                <w:i/>
                <w:iCs/>
              </w:rPr>
            </w:pPr>
            <w:r w:rsidRPr="00EF3719">
              <w:rPr>
                <w:i/>
                <w:iCs/>
              </w:rPr>
              <w:t>06/03/2023 Monitoring Fee instalments 3 to 5 totalling £62,500 was withdrawn from ESCROW.</w:t>
            </w:r>
          </w:p>
          <w:p w14:paraId="205A2E8D" w14:textId="77777777" w:rsidR="00F62688" w:rsidRPr="00EF3719" w:rsidRDefault="00F62688" w:rsidP="00D504A1">
            <w:pPr>
              <w:spacing w:after="0" w:line="240" w:lineRule="auto"/>
              <w:rPr>
                <w:i/>
                <w:iCs/>
              </w:rPr>
            </w:pPr>
          </w:p>
          <w:p w14:paraId="3EB89B68" w14:textId="77777777" w:rsidR="00F62688" w:rsidRPr="00EF3719" w:rsidRDefault="00F62688" w:rsidP="00D504A1">
            <w:pPr>
              <w:spacing w:after="0" w:line="240" w:lineRule="auto"/>
              <w:rPr>
                <w:i/>
                <w:iCs/>
              </w:rPr>
            </w:pPr>
            <w:r w:rsidRPr="00EF3719">
              <w:rPr>
                <w:i/>
                <w:iCs/>
              </w:rPr>
              <w:t>As such a total of £125,000 has been paid.</w:t>
            </w:r>
          </w:p>
        </w:tc>
      </w:tr>
    </w:tbl>
    <w:p w14:paraId="5D02D809" w14:textId="77777777" w:rsidR="00F62688" w:rsidRPr="00EF3719" w:rsidRDefault="00F62688" w:rsidP="00F62688">
      <w:pPr>
        <w:rPr>
          <w:i/>
          <w:iCs/>
        </w:rPr>
      </w:pPr>
    </w:p>
    <w:p w14:paraId="2932A39A" w14:textId="1F082BE9" w:rsidR="00F62688" w:rsidRPr="00EF3719" w:rsidRDefault="00A95555" w:rsidP="008D3441">
      <w:pPr>
        <w:rPr>
          <w:i/>
          <w:iCs/>
          <w:lang w:val="en-US"/>
        </w:rPr>
      </w:pPr>
      <w:r w:rsidRPr="00EF3719">
        <w:rPr>
          <w:i/>
          <w:iCs/>
          <w:lang w:val="en-US"/>
        </w:rPr>
        <w:t xml:space="preserve">The Appellants will </w:t>
      </w:r>
      <w:proofErr w:type="gramStart"/>
      <w:r w:rsidRPr="00EF3719">
        <w:rPr>
          <w:i/>
          <w:iCs/>
          <w:lang w:val="en-US"/>
        </w:rPr>
        <w:t>provide  updated</w:t>
      </w:r>
      <w:proofErr w:type="gramEnd"/>
      <w:r w:rsidRPr="00EF3719">
        <w:rPr>
          <w:i/>
          <w:iCs/>
          <w:lang w:val="en-US"/>
        </w:rPr>
        <w:t xml:space="preserve"> </w:t>
      </w:r>
      <w:r w:rsidR="001F5DA4" w:rsidRPr="00EF3719">
        <w:rPr>
          <w:i/>
          <w:iCs/>
          <w:lang w:val="en-US"/>
        </w:rPr>
        <w:t xml:space="preserve">versions of the composite S106 with proposed modifications (CD 2/20) and the Annex A table </w:t>
      </w:r>
      <w:proofErr w:type="gramStart"/>
      <w:r w:rsidR="001F5DA4" w:rsidRPr="00EF3719">
        <w:rPr>
          <w:i/>
          <w:iCs/>
          <w:lang w:val="en-US"/>
        </w:rPr>
        <w:t>( CD</w:t>
      </w:r>
      <w:proofErr w:type="gramEnd"/>
      <w:r w:rsidR="001F5DA4" w:rsidRPr="00EF3719">
        <w:rPr>
          <w:i/>
          <w:iCs/>
          <w:lang w:val="en-US"/>
        </w:rPr>
        <w:t xml:space="preserve"> 2/22) to incorporate these corrections and the modifications/corrections submitted on 27 March 2025 </w:t>
      </w:r>
    </w:p>
    <w:p w14:paraId="1D7CFEEA" w14:textId="77777777" w:rsidR="008A4622" w:rsidRDefault="008A4622" w:rsidP="008D3441">
      <w:pPr>
        <w:rPr>
          <w:lang w:val="en-US"/>
        </w:rPr>
      </w:pPr>
    </w:p>
    <w:p w14:paraId="4A4A9E9E" w14:textId="0594BB90" w:rsidR="008A4622" w:rsidRDefault="008A4622" w:rsidP="008D3441">
      <w:pPr>
        <w:rPr>
          <w:lang w:val="en-US"/>
        </w:rPr>
      </w:pPr>
      <w:r w:rsidRPr="00BE2A94">
        <w:rPr>
          <w:lang w:val="en-US"/>
        </w:rPr>
        <w:t>Q16</w:t>
      </w:r>
      <w:r w:rsidRPr="00C15361">
        <w:rPr>
          <w:lang w:val="en-US"/>
        </w:rPr>
        <w:t>:</w:t>
      </w:r>
      <w:r>
        <w:rPr>
          <w:lang w:val="en-US"/>
        </w:rPr>
        <w:t xml:space="preserve"> for all parties</w:t>
      </w:r>
    </w:p>
    <w:p w14:paraId="4216D29B" w14:textId="44A4362F" w:rsidR="008A4622" w:rsidRDefault="008A4622" w:rsidP="008A4622">
      <w:pPr>
        <w:rPr>
          <w:lang w:val="en-US"/>
        </w:rPr>
      </w:pPr>
      <w:r>
        <w:rPr>
          <w:lang w:val="en-US"/>
        </w:rPr>
        <w:t>Settlement agreement, Clause 2.2</w:t>
      </w:r>
    </w:p>
    <w:p w14:paraId="22622457" w14:textId="6EB3045F" w:rsidR="008A4622" w:rsidRDefault="008A4622" w:rsidP="008A4622">
      <w:pPr>
        <w:rPr>
          <w:lang w:val="en-US"/>
        </w:rPr>
      </w:pPr>
      <w:r>
        <w:rPr>
          <w:lang w:val="en-US"/>
        </w:rPr>
        <w:t xml:space="preserve">With reference to </w:t>
      </w:r>
      <w:r w:rsidR="006B519A">
        <w:rPr>
          <w:lang w:val="en-US"/>
        </w:rPr>
        <w:t xml:space="preserve">Delivery, Monitoring &amp; Council’s Costs Reimbursement </w:t>
      </w:r>
      <w:r>
        <w:rPr>
          <w:lang w:val="en-US"/>
        </w:rPr>
        <w:t>Topic paper, para 2.9</w:t>
      </w:r>
    </w:p>
    <w:p w14:paraId="4285CEFA" w14:textId="54C4DE5D" w:rsidR="008A4622" w:rsidRDefault="008A4622" w:rsidP="008A4622">
      <w:pPr>
        <w:rPr>
          <w:lang w:val="en-US"/>
        </w:rPr>
      </w:pPr>
      <w:r>
        <w:rPr>
          <w:lang w:val="en-US"/>
        </w:rPr>
        <w:t>An invitation to parties to come back on that issue</w:t>
      </w:r>
    </w:p>
    <w:p w14:paraId="695107A7" w14:textId="6C7EC319" w:rsidR="00AD4DA5" w:rsidRPr="001D3896" w:rsidRDefault="001062D7" w:rsidP="008A4622">
      <w:pPr>
        <w:rPr>
          <w:i/>
          <w:iCs/>
          <w:lang w:val="en-US"/>
        </w:rPr>
      </w:pPr>
      <w:r w:rsidRPr="001D3896">
        <w:rPr>
          <w:i/>
          <w:iCs/>
          <w:lang w:val="en-US"/>
        </w:rPr>
        <w:t>The Appellants do not agree that the suspension of the obligation to top up the balance in the Developers Contingency Bank Account – Council (by paying in £817,500)</w:t>
      </w:r>
      <w:r w:rsidR="00BA6A68" w:rsidRPr="001D3896">
        <w:rPr>
          <w:i/>
          <w:iCs/>
          <w:lang w:val="en-US"/>
        </w:rPr>
        <w:t xml:space="preserve"> </w:t>
      </w:r>
      <w:r w:rsidR="005B36B5" w:rsidRPr="001D3896">
        <w:rPr>
          <w:i/>
          <w:iCs/>
          <w:lang w:val="en-US"/>
        </w:rPr>
        <w:t xml:space="preserve">has lapsed. </w:t>
      </w:r>
      <w:proofErr w:type="gramStart"/>
      <w:r w:rsidR="005B36B5" w:rsidRPr="001D3896">
        <w:rPr>
          <w:i/>
          <w:iCs/>
          <w:lang w:val="en-US"/>
        </w:rPr>
        <w:t>I</w:t>
      </w:r>
      <w:r w:rsidR="00BA6A68" w:rsidRPr="001D3896">
        <w:rPr>
          <w:i/>
          <w:iCs/>
          <w:lang w:val="en-US"/>
        </w:rPr>
        <w:t>t is clear that the</w:t>
      </w:r>
      <w:proofErr w:type="gramEnd"/>
      <w:r w:rsidR="00BA6A68" w:rsidRPr="001D3896">
        <w:rPr>
          <w:i/>
          <w:iCs/>
          <w:lang w:val="en-US"/>
        </w:rPr>
        <w:t xml:space="preserve"> intention of Clause 2.2 of the Settlement Agreement was to </w:t>
      </w:r>
      <w:r w:rsidR="00561384" w:rsidRPr="001D3896">
        <w:rPr>
          <w:i/>
          <w:iCs/>
          <w:lang w:val="en-US"/>
        </w:rPr>
        <w:t xml:space="preserve">continue the </w:t>
      </w:r>
      <w:r w:rsidR="00BA6A68" w:rsidRPr="001D3896">
        <w:rPr>
          <w:i/>
          <w:iCs/>
          <w:lang w:val="en-US"/>
        </w:rPr>
        <w:t>suspen</w:t>
      </w:r>
      <w:r w:rsidR="00561384" w:rsidRPr="001D3896">
        <w:rPr>
          <w:i/>
          <w:iCs/>
          <w:lang w:val="en-US"/>
        </w:rPr>
        <w:t xml:space="preserve">sion of the obligation to top up to allow the issue of whether the obligation should be discharged to be considered at an appeal. ABC is not entitled to rely </w:t>
      </w:r>
      <w:proofErr w:type="gramStart"/>
      <w:r w:rsidR="00561384" w:rsidRPr="001D3896">
        <w:rPr>
          <w:i/>
          <w:iCs/>
          <w:lang w:val="en-US"/>
        </w:rPr>
        <w:t xml:space="preserve">on </w:t>
      </w:r>
      <w:r w:rsidR="005B36B5" w:rsidRPr="001D3896">
        <w:rPr>
          <w:i/>
          <w:iCs/>
          <w:lang w:val="en-US"/>
        </w:rPr>
        <w:t xml:space="preserve"> the</w:t>
      </w:r>
      <w:proofErr w:type="gramEnd"/>
      <w:r w:rsidR="005B36B5" w:rsidRPr="001D3896">
        <w:rPr>
          <w:i/>
          <w:iCs/>
          <w:lang w:val="en-US"/>
        </w:rPr>
        <w:t xml:space="preserve"> fact that it did not issue a decision on the Appellant’s application and the expiry of the long stop date in clause 2.2 when it acted unlawfully </w:t>
      </w:r>
      <w:proofErr w:type="gramStart"/>
      <w:r w:rsidR="005B36B5" w:rsidRPr="001D3896">
        <w:rPr>
          <w:i/>
          <w:iCs/>
          <w:lang w:val="en-US"/>
        </w:rPr>
        <w:t xml:space="preserve">in </w:t>
      </w:r>
      <w:r w:rsidR="00561384" w:rsidRPr="001D3896">
        <w:rPr>
          <w:i/>
          <w:iCs/>
          <w:lang w:val="en-US"/>
        </w:rPr>
        <w:t xml:space="preserve"> declining</w:t>
      </w:r>
      <w:proofErr w:type="gramEnd"/>
      <w:r w:rsidR="00561384" w:rsidRPr="001D3896">
        <w:rPr>
          <w:i/>
          <w:iCs/>
          <w:lang w:val="en-US"/>
        </w:rPr>
        <w:t xml:space="preserve"> to validate the application and then </w:t>
      </w:r>
      <w:r w:rsidR="005B36B5" w:rsidRPr="001D3896">
        <w:rPr>
          <w:i/>
          <w:iCs/>
          <w:lang w:val="en-US"/>
        </w:rPr>
        <w:t xml:space="preserve">delayed the progression of the appeal by arguing unsuccessfully that it was invalid.  </w:t>
      </w:r>
    </w:p>
    <w:p w14:paraId="2954EEB7" w14:textId="043BD0C2" w:rsidR="001062D7" w:rsidRPr="001D3896" w:rsidRDefault="001062D7" w:rsidP="008A4622">
      <w:pPr>
        <w:rPr>
          <w:i/>
          <w:iCs/>
          <w:lang w:val="en-US"/>
        </w:rPr>
      </w:pPr>
      <w:r w:rsidRPr="001D3896">
        <w:rPr>
          <w:i/>
          <w:iCs/>
          <w:lang w:val="en-US"/>
        </w:rPr>
        <w:t xml:space="preserve">In any event however, the Appellants are seeking </w:t>
      </w:r>
      <w:r w:rsidR="001D3896" w:rsidRPr="001D3896">
        <w:rPr>
          <w:i/>
          <w:iCs/>
          <w:lang w:val="en-US"/>
        </w:rPr>
        <w:t xml:space="preserve">the discharge of the obligation to maintain </w:t>
      </w:r>
      <w:r w:rsidR="00F74FA9" w:rsidRPr="00F74FA9">
        <w:rPr>
          <w:i/>
          <w:iCs/>
          <w:lang w:val="en-US"/>
        </w:rPr>
        <w:t>the Developers Contingency Bank Account – Council</w:t>
      </w:r>
      <w:r w:rsidR="00F74FA9">
        <w:rPr>
          <w:i/>
          <w:iCs/>
          <w:lang w:val="en-US"/>
        </w:rPr>
        <w:t xml:space="preserve"> </w:t>
      </w:r>
      <w:proofErr w:type="gramStart"/>
      <w:r w:rsidR="001D3896" w:rsidRPr="001D3896">
        <w:rPr>
          <w:i/>
          <w:iCs/>
          <w:lang w:val="en-US"/>
        </w:rPr>
        <w:t>( and</w:t>
      </w:r>
      <w:proofErr w:type="gramEnd"/>
      <w:r w:rsidR="001D3896" w:rsidRPr="001D3896">
        <w:rPr>
          <w:i/>
          <w:iCs/>
          <w:lang w:val="en-US"/>
        </w:rPr>
        <w:t xml:space="preserve"> </w:t>
      </w:r>
      <w:r w:rsidR="00F74FA9">
        <w:rPr>
          <w:i/>
          <w:iCs/>
          <w:lang w:val="en-US"/>
        </w:rPr>
        <w:t xml:space="preserve">to maintain a minimum balance in </w:t>
      </w:r>
      <w:proofErr w:type="gramStart"/>
      <w:r w:rsidR="00F74FA9">
        <w:rPr>
          <w:i/>
          <w:iCs/>
          <w:lang w:val="en-US"/>
        </w:rPr>
        <w:t xml:space="preserve">the </w:t>
      </w:r>
      <w:r w:rsidR="001D3896" w:rsidRPr="001D3896">
        <w:rPr>
          <w:i/>
          <w:iCs/>
          <w:lang w:val="en-US"/>
        </w:rPr>
        <w:t xml:space="preserve"> account</w:t>
      </w:r>
      <w:proofErr w:type="gramEnd"/>
      <w:r w:rsidR="00F74FA9">
        <w:rPr>
          <w:i/>
          <w:iCs/>
          <w:lang w:val="en-US"/>
        </w:rPr>
        <w:t xml:space="preserve">) </w:t>
      </w:r>
      <w:proofErr w:type="gramStart"/>
      <w:r w:rsidR="001D3896" w:rsidRPr="001D3896">
        <w:rPr>
          <w:i/>
          <w:iCs/>
          <w:lang w:val="en-US"/>
        </w:rPr>
        <w:t>( modification</w:t>
      </w:r>
      <w:proofErr w:type="gramEnd"/>
      <w:r w:rsidR="001D3896" w:rsidRPr="001D3896">
        <w:rPr>
          <w:i/>
          <w:iCs/>
          <w:lang w:val="en-US"/>
        </w:rPr>
        <w:t xml:space="preserve"> 113) </w:t>
      </w:r>
    </w:p>
    <w:p w14:paraId="77A98DB9" w14:textId="77777777" w:rsidR="008A4622" w:rsidRDefault="008A4622" w:rsidP="008A4622">
      <w:pPr>
        <w:rPr>
          <w:lang w:val="en-US"/>
        </w:rPr>
      </w:pPr>
    </w:p>
    <w:p w14:paraId="08346F6E" w14:textId="6328FD54" w:rsidR="008A4622" w:rsidRDefault="006B519A" w:rsidP="008D3441">
      <w:pPr>
        <w:rPr>
          <w:lang w:val="en-US"/>
        </w:rPr>
      </w:pPr>
      <w:r>
        <w:rPr>
          <w:lang w:val="en-US"/>
        </w:rPr>
        <w:t>Q17: for Hodson</w:t>
      </w:r>
    </w:p>
    <w:p w14:paraId="6C04C744" w14:textId="77777777" w:rsidR="00AD4DA5" w:rsidRDefault="006B519A" w:rsidP="00AD4DA5">
      <w:r>
        <w:rPr>
          <w:lang w:val="en-US"/>
        </w:rPr>
        <w:t>What is the current balance in the Developers Contingency Bank Account?</w:t>
      </w:r>
      <w:r w:rsidR="00AD4DA5" w:rsidRPr="00AD4DA5">
        <w:t xml:space="preserve"> </w:t>
      </w:r>
    </w:p>
    <w:p w14:paraId="4445F402" w14:textId="14B02B41" w:rsidR="00AD4DA5" w:rsidRPr="005938C2" w:rsidRDefault="00AD4DA5" w:rsidP="00AD4DA5">
      <w:pPr>
        <w:rPr>
          <w:i/>
          <w:iCs/>
        </w:rPr>
      </w:pPr>
      <w:r w:rsidRPr="005938C2">
        <w:rPr>
          <w:i/>
          <w:iCs/>
        </w:rPr>
        <w:t>1.</w:t>
      </w:r>
      <w:r w:rsidRPr="005938C2">
        <w:rPr>
          <w:i/>
          <w:iCs/>
        </w:rPr>
        <w:tab/>
        <w:t>The balance in the KCC Contingency Bank Account is £475,000 (no withdrawals since depositing in 2017</w:t>
      </w:r>
      <w:proofErr w:type="gramStart"/>
      <w:r w:rsidRPr="005938C2">
        <w:rPr>
          <w:i/>
          <w:iCs/>
        </w:rPr>
        <w:t>);</w:t>
      </w:r>
      <w:proofErr w:type="gramEnd"/>
    </w:p>
    <w:p w14:paraId="33196B30" w14:textId="4B858048" w:rsidR="006B519A" w:rsidRPr="005938C2" w:rsidRDefault="00AD4DA5" w:rsidP="00AD4DA5">
      <w:pPr>
        <w:rPr>
          <w:i/>
          <w:iCs/>
        </w:rPr>
      </w:pPr>
      <w:r w:rsidRPr="005938C2">
        <w:rPr>
          <w:i/>
          <w:iCs/>
        </w:rPr>
        <w:t>2.</w:t>
      </w:r>
      <w:r w:rsidRPr="005938C2">
        <w:rPr>
          <w:i/>
          <w:iCs/>
        </w:rPr>
        <w:tab/>
        <w:t xml:space="preserve">The balance in the ABC Contingency Bank Account is £2,149,402 (Original figure of £2,966,902 less £817,500 deducted in </w:t>
      </w:r>
      <w:proofErr w:type="gramStart"/>
      <w:r w:rsidR="004E052F">
        <w:rPr>
          <w:i/>
          <w:iCs/>
        </w:rPr>
        <w:t xml:space="preserve">March </w:t>
      </w:r>
      <w:r w:rsidR="004E052F" w:rsidRPr="005938C2">
        <w:rPr>
          <w:i/>
          <w:iCs/>
        </w:rPr>
        <w:t xml:space="preserve"> </w:t>
      </w:r>
      <w:r w:rsidRPr="005938C2">
        <w:rPr>
          <w:i/>
          <w:iCs/>
        </w:rPr>
        <w:t>2023</w:t>
      </w:r>
      <w:proofErr w:type="gramEnd"/>
      <w:r w:rsidRPr="005938C2">
        <w:rPr>
          <w:i/>
          <w:iCs/>
        </w:rPr>
        <w:t xml:space="preserve"> as part of ABC/HD 10 Feb 2023 Settlement Agreement).</w:t>
      </w:r>
    </w:p>
    <w:p w14:paraId="2B9FB054" w14:textId="77777777" w:rsidR="008D3441" w:rsidRDefault="008D3441" w:rsidP="008D3441"/>
    <w:sectPr w:rsidR="008D34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AE19" w14:textId="77777777" w:rsidR="00EA5073" w:rsidRDefault="00EA5073" w:rsidP="00EA5073">
      <w:pPr>
        <w:spacing w:after="0" w:line="240" w:lineRule="auto"/>
      </w:pPr>
      <w:r>
        <w:separator/>
      </w:r>
    </w:p>
  </w:endnote>
  <w:endnote w:type="continuationSeparator" w:id="0">
    <w:p w14:paraId="60F62CA9" w14:textId="77777777" w:rsidR="00EA5073" w:rsidRDefault="00EA5073" w:rsidP="00EA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A02" w14:textId="77777777" w:rsidR="00EA5073" w:rsidRDefault="00EA5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F97B" w14:textId="77777777" w:rsidR="00EA5073" w:rsidRDefault="00EA5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CD47" w14:textId="77777777" w:rsidR="00EA5073" w:rsidRDefault="00EA5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D4C1" w14:textId="77777777" w:rsidR="00EA5073" w:rsidRDefault="00EA5073" w:rsidP="00EA5073">
      <w:pPr>
        <w:spacing w:after="0" w:line="240" w:lineRule="auto"/>
      </w:pPr>
      <w:r>
        <w:separator/>
      </w:r>
    </w:p>
  </w:footnote>
  <w:footnote w:type="continuationSeparator" w:id="0">
    <w:p w14:paraId="0AD66A62" w14:textId="77777777" w:rsidR="00EA5073" w:rsidRDefault="00EA5073" w:rsidP="00EA5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E747" w14:textId="77777777" w:rsidR="00EA5073" w:rsidRDefault="00EA5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DE74" w14:textId="77777777" w:rsidR="00EA5073" w:rsidRDefault="00EA5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8F8A" w14:textId="77777777" w:rsidR="00EA5073" w:rsidRDefault="00EA5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2A83"/>
    <w:multiLevelType w:val="hybridMultilevel"/>
    <w:tmpl w:val="39E0A00A"/>
    <w:lvl w:ilvl="0" w:tplc="4B7420F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09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41"/>
    <w:rsid w:val="0006428D"/>
    <w:rsid w:val="001062D7"/>
    <w:rsid w:val="00114073"/>
    <w:rsid w:val="00173D4C"/>
    <w:rsid w:val="001D3896"/>
    <w:rsid w:val="001E601B"/>
    <w:rsid w:val="001F37DE"/>
    <w:rsid w:val="001F5DA4"/>
    <w:rsid w:val="00210898"/>
    <w:rsid w:val="00323C18"/>
    <w:rsid w:val="003A00B8"/>
    <w:rsid w:val="003A3EF2"/>
    <w:rsid w:val="003D1D44"/>
    <w:rsid w:val="003E416C"/>
    <w:rsid w:val="00417D2E"/>
    <w:rsid w:val="004E052F"/>
    <w:rsid w:val="00537E9F"/>
    <w:rsid w:val="00561384"/>
    <w:rsid w:val="005938C2"/>
    <w:rsid w:val="005B36B5"/>
    <w:rsid w:val="00694393"/>
    <w:rsid w:val="006B3FA6"/>
    <w:rsid w:val="006B519A"/>
    <w:rsid w:val="00742647"/>
    <w:rsid w:val="007B1512"/>
    <w:rsid w:val="007B22EA"/>
    <w:rsid w:val="007C5F89"/>
    <w:rsid w:val="00817CFD"/>
    <w:rsid w:val="0082590C"/>
    <w:rsid w:val="008A4622"/>
    <w:rsid w:val="008D3441"/>
    <w:rsid w:val="009F1216"/>
    <w:rsid w:val="00A95555"/>
    <w:rsid w:val="00A96327"/>
    <w:rsid w:val="00AC0863"/>
    <w:rsid w:val="00AD4DA5"/>
    <w:rsid w:val="00B5717E"/>
    <w:rsid w:val="00BA6A68"/>
    <w:rsid w:val="00BB047B"/>
    <w:rsid w:val="00BE2A94"/>
    <w:rsid w:val="00C15361"/>
    <w:rsid w:val="00D02A19"/>
    <w:rsid w:val="00D43BF2"/>
    <w:rsid w:val="00D46143"/>
    <w:rsid w:val="00DF3C8C"/>
    <w:rsid w:val="00E71013"/>
    <w:rsid w:val="00E8539C"/>
    <w:rsid w:val="00EA5073"/>
    <w:rsid w:val="00EB026A"/>
    <w:rsid w:val="00EF3719"/>
    <w:rsid w:val="00F62688"/>
    <w:rsid w:val="00F74FA9"/>
    <w:rsid w:val="00F9695F"/>
    <w:rsid w:val="00FA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F9C8"/>
  <w15:chartTrackingRefBased/>
  <w15:docId w15:val="{73E4F5EB-BA44-4A19-9B0B-A1E10B61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41"/>
  </w:style>
  <w:style w:type="paragraph" w:styleId="Heading1">
    <w:name w:val="heading 1"/>
    <w:basedOn w:val="Normal"/>
    <w:next w:val="Normal"/>
    <w:link w:val="Heading1Char"/>
    <w:uiPriority w:val="9"/>
    <w:qFormat/>
    <w:rsid w:val="008D34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34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344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344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344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3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44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34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344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344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344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3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441"/>
    <w:rPr>
      <w:rFonts w:eastAsiaTheme="majorEastAsia" w:cstheme="majorBidi"/>
      <w:color w:val="272727" w:themeColor="text1" w:themeTint="D8"/>
    </w:rPr>
  </w:style>
  <w:style w:type="paragraph" w:styleId="Title">
    <w:name w:val="Title"/>
    <w:basedOn w:val="Normal"/>
    <w:next w:val="Normal"/>
    <w:link w:val="TitleChar"/>
    <w:uiPriority w:val="10"/>
    <w:qFormat/>
    <w:rsid w:val="008D3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441"/>
    <w:pPr>
      <w:spacing w:before="160"/>
      <w:jc w:val="center"/>
    </w:pPr>
    <w:rPr>
      <w:i/>
      <w:iCs/>
      <w:color w:val="404040" w:themeColor="text1" w:themeTint="BF"/>
    </w:rPr>
  </w:style>
  <w:style w:type="character" w:customStyle="1" w:styleId="QuoteChar">
    <w:name w:val="Quote Char"/>
    <w:basedOn w:val="DefaultParagraphFont"/>
    <w:link w:val="Quote"/>
    <w:uiPriority w:val="29"/>
    <w:rsid w:val="008D3441"/>
    <w:rPr>
      <w:i/>
      <w:iCs/>
      <w:color w:val="404040" w:themeColor="text1" w:themeTint="BF"/>
    </w:rPr>
  </w:style>
  <w:style w:type="paragraph" w:styleId="ListParagraph">
    <w:name w:val="List Paragraph"/>
    <w:basedOn w:val="Normal"/>
    <w:uiPriority w:val="34"/>
    <w:qFormat/>
    <w:rsid w:val="008D3441"/>
    <w:pPr>
      <w:ind w:left="720"/>
      <w:contextualSpacing/>
    </w:pPr>
  </w:style>
  <w:style w:type="character" w:styleId="IntenseEmphasis">
    <w:name w:val="Intense Emphasis"/>
    <w:basedOn w:val="DefaultParagraphFont"/>
    <w:uiPriority w:val="21"/>
    <w:qFormat/>
    <w:rsid w:val="008D3441"/>
    <w:rPr>
      <w:i/>
      <w:iCs/>
      <w:color w:val="2E74B5" w:themeColor="accent1" w:themeShade="BF"/>
    </w:rPr>
  </w:style>
  <w:style w:type="paragraph" w:styleId="IntenseQuote">
    <w:name w:val="Intense Quote"/>
    <w:basedOn w:val="Normal"/>
    <w:next w:val="Normal"/>
    <w:link w:val="IntenseQuoteChar"/>
    <w:uiPriority w:val="30"/>
    <w:qFormat/>
    <w:rsid w:val="008D34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3441"/>
    <w:rPr>
      <w:i/>
      <w:iCs/>
      <w:color w:val="2E74B5" w:themeColor="accent1" w:themeShade="BF"/>
    </w:rPr>
  </w:style>
  <w:style w:type="character" w:styleId="IntenseReference">
    <w:name w:val="Intense Reference"/>
    <w:basedOn w:val="DefaultParagraphFont"/>
    <w:uiPriority w:val="32"/>
    <w:qFormat/>
    <w:rsid w:val="008D3441"/>
    <w:rPr>
      <w:b/>
      <w:bCs/>
      <w:smallCaps/>
      <w:color w:val="2E74B5" w:themeColor="accent1" w:themeShade="BF"/>
      <w:spacing w:val="5"/>
    </w:rPr>
  </w:style>
  <w:style w:type="table" w:styleId="TableGrid">
    <w:name w:val="Table Grid"/>
    <w:basedOn w:val="TableNormal"/>
    <w:uiPriority w:val="39"/>
    <w:rsid w:val="008D3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1D44"/>
    <w:pPr>
      <w:spacing w:after="0" w:line="240" w:lineRule="auto"/>
    </w:pPr>
  </w:style>
  <w:style w:type="paragraph" w:styleId="Header">
    <w:name w:val="header"/>
    <w:basedOn w:val="Normal"/>
    <w:link w:val="HeaderChar"/>
    <w:uiPriority w:val="99"/>
    <w:unhideWhenUsed/>
    <w:rsid w:val="00EA5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073"/>
  </w:style>
  <w:style w:type="paragraph" w:styleId="Footer">
    <w:name w:val="footer"/>
    <w:basedOn w:val="Normal"/>
    <w:link w:val="FooterChar"/>
    <w:uiPriority w:val="99"/>
    <w:unhideWhenUsed/>
    <w:rsid w:val="00EA5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73"/>
  </w:style>
  <w:style w:type="character" w:styleId="CommentReference">
    <w:name w:val="annotation reference"/>
    <w:basedOn w:val="DefaultParagraphFont"/>
    <w:uiPriority w:val="99"/>
    <w:semiHidden/>
    <w:unhideWhenUsed/>
    <w:rsid w:val="00537E9F"/>
    <w:rPr>
      <w:sz w:val="16"/>
      <w:szCs w:val="16"/>
    </w:rPr>
  </w:style>
  <w:style w:type="paragraph" w:styleId="CommentText">
    <w:name w:val="annotation text"/>
    <w:basedOn w:val="Normal"/>
    <w:link w:val="CommentTextChar"/>
    <w:uiPriority w:val="99"/>
    <w:unhideWhenUsed/>
    <w:rsid w:val="00537E9F"/>
    <w:pPr>
      <w:spacing w:line="240" w:lineRule="auto"/>
    </w:pPr>
    <w:rPr>
      <w:sz w:val="20"/>
      <w:szCs w:val="20"/>
    </w:rPr>
  </w:style>
  <w:style w:type="character" w:customStyle="1" w:styleId="CommentTextChar">
    <w:name w:val="Comment Text Char"/>
    <w:basedOn w:val="DefaultParagraphFont"/>
    <w:link w:val="CommentText"/>
    <w:uiPriority w:val="99"/>
    <w:rsid w:val="00537E9F"/>
    <w:rPr>
      <w:sz w:val="20"/>
      <w:szCs w:val="20"/>
    </w:rPr>
  </w:style>
  <w:style w:type="paragraph" w:styleId="CommentSubject">
    <w:name w:val="annotation subject"/>
    <w:basedOn w:val="CommentText"/>
    <w:next w:val="CommentText"/>
    <w:link w:val="CommentSubjectChar"/>
    <w:uiPriority w:val="99"/>
    <w:semiHidden/>
    <w:unhideWhenUsed/>
    <w:rsid w:val="00537E9F"/>
    <w:rPr>
      <w:b/>
      <w:bCs/>
    </w:rPr>
  </w:style>
  <w:style w:type="character" w:customStyle="1" w:styleId="CommentSubjectChar">
    <w:name w:val="Comment Subject Char"/>
    <w:basedOn w:val="CommentTextChar"/>
    <w:link w:val="CommentSubject"/>
    <w:uiPriority w:val="99"/>
    <w:semiHidden/>
    <w:rsid w:val="00537E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 I M A N _ N R ! 3 7 3 3 6 3 0 8 . 5 < / d o c u m e n t i d >  
     < s e n d e r i d > M H A R N E T T < / s e n d e r i d >  
     < s e n d e r e m a i l > M H A R N E T T @ F L A D G A T E . C O M < / s e n d e r e m a i l >  
     < l a s t m o d i f i e d > 2 0 2 5 - 0 4 - 2 8 T 1 3 : 4 2 : 0 0 . 0 0 0 0 0 0 0 + 0 1 : 0 0 < / l a s t m o d i f i e d >  
     < d a t a b a s e > I M A N _ N R < / d a t a b a s e >  
 < / p r o p e r t i e s > 
</file>

<file path=docProps/app.xml><?xml version="1.0" encoding="utf-8"?>
<Properties xmlns="http://schemas.openxmlformats.org/officeDocument/2006/extended-properties" xmlns:vt="http://schemas.openxmlformats.org/officeDocument/2006/docPropsVTypes">
  <Template>Normal</Template>
  <TotalTime>127</TotalTime>
  <Pages>6</Pages>
  <Words>1868</Words>
  <Characters>9771</Characters>
  <Application>Microsoft Office Word</Application>
  <DocSecurity>0</DocSecurity>
  <Lines>315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Darby</dc:creator>
  <cp:keywords>MSH\28497\0042\37336308v5\MSH</cp:keywords>
  <dc:description>MSH\37336308v5</dc:description>
  <cp:lastModifiedBy>Mark Harnett</cp:lastModifiedBy>
  <cp:revision>8</cp:revision>
  <cp:lastPrinted>2025-04-17T08:46:00Z</cp:lastPrinted>
  <dcterms:created xsi:type="dcterms:W3CDTF">2025-04-28T10:13:00Z</dcterms:created>
  <dcterms:modified xsi:type="dcterms:W3CDTF">2025-04-28T12:42:00Z</dcterms:modified>
  <cp:category>37336308v5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erence">
    <vt:lpwstr>MSH\28497\0042\37336308v5\MSH</vt:lpwstr>
  </property>
  <property fmtid="{D5CDD505-2E9C-101B-9397-08002B2CF9AE}" pid="3" name="OtherReference">
    <vt:lpwstr>MSH\37336308v5</vt:lpwstr>
  </property>
  <property fmtid="{D5CDD505-2E9C-101B-9397-08002B2CF9AE}" pid="4" name="ClientName">
    <vt:lpwstr>Hodson Developments (Ashford) Limited</vt:lpwstr>
  </property>
  <property fmtid="{D5CDD505-2E9C-101B-9397-08002B2CF9AE}" pid="5" name="MatterName">
    <vt:lpwstr>Section 106A applications</vt:lpwstr>
  </property>
  <property fmtid="{D5CDD505-2E9C-101B-9397-08002B2CF9AE}" pid="6" name="DocVersion">
    <vt:lpwstr>5</vt:lpwstr>
  </property>
  <property fmtid="{D5CDD505-2E9C-101B-9397-08002B2CF9AE}" pid="7" name="DocNo">
    <vt:lpwstr>37336308</vt:lpwstr>
  </property>
  <property fmtid="{D5CDD505-2E9C-101B-9397-08002B2CF9AE}" pid="8" name="Author">
    <vt:lpwstr>MHARNETT</vt:lpwstr>
  </property>
  <property fmtid="{D5CDD505-2E9C-101B-9397-08002B2CF9AE}" pid="9" name="ClientID">
    <vt:lpwstr>28497</vt:lpwstr>
  </property>
  <property fmtid="{D5CDD505-2E9C-101B-9397-08002B2CF9AE}" pid="10" name="MatterID">
    <vt:lpwstr>0042</vt:lpwstr>
  </property>
  <property fmtid="{D5CDD505-2E9C-101B-9397-08002B2CF9AE}" pid="11" name="TypistName">
    <vt:lpwstr>Mark Harnett</vt:lpwstr>
  </property>
  <property fmtid="{D5CDD505-2E9C-101B-9397-08002B2CF9AE}" pid="12" name="DocMaster">
    <vt:lpwstr>False</vt:lpwstr>
  </property>
  <property fmtid="{D5CDD505-2E9C-101B-9397-08002B2CF9AE}" pid="13" name="AuthorName">
    <vt:lpwstr>Mark Harnett</vt:lpwstr>
  </property>
  <property fmtid="{D5CDD505-2E9C-101B-9397-08002B2CF9AE}" pid="14" name="FileNo">
    <vt:lpwstr>28497\0042</vt:lpwstr>
  </property>
  <property fmtid="{D5CDD505-2E9C-101B-9397-08002B2CF9AE}" pid="15" name="TypistInits">
    <vt:lpwstr>MSH</vt:lpwstr>
  </property>
  <property fmtid="{D5CDD505-2E9C-101B-9397-08002B2CF9AE}" pid="16" name="Email">
    <vt:lpwstr>mharnett@fladgate.com</vt:lpwstr>
  </property>
  <property fmtid="{D5CDD505-2E9C-101B-9397-08002B2CF9AE}" pid="17" name="AuthorInits">
    <vt:lpwstr>MSH</vt:lpwstr>
  </property>
  <property fmtid="{D5CDD505-2E9C-101B-9397-08002B2CF9AE}" pid="18" name="Extension">
    <vt:lpwstr>+44 (0)20 3036 7248</vt:lpwstr>
  </property>
  <property fmtid="{D5CDD505-2E9C-101B-9397-08002B2CF9AE}" pid="19" name="JobDesc">
    <vt:lpwstr>Partner</vt:lpwstr>
  </property>
  <property fmtid="{D5CDD505-2E9C-101B-9397-08002B2CF9AE}" pid="20" name="Fax">
    <vt:lpwstr>+44 (0)20 3036 7748</vt:lpwstr>
  </property>
</Properties>
</file>