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32" w:rsidRPr="00FB0D32" w:rsidRDefault="00FB0D32" w:rsidP="00FB0D32">
      <w:pPr>
        <w:spacing w:after="0" w:line="240" w:lineRule="auto"/>
        <w:jc w:val="both"/>
        <w:rPr>
          <w:rFonts w:ascii="Arial" w:eastAsia="Times New Roman" w:hAnsi="Arial" w:cs="Arial"/>
          <w:b/>
          <w:sz w:val="24"/>
          <w:szCs w:val="24"/>
        </w:rPr>
      </w:pPr>
      <w:bookmarkStart w:id="0" w:name="_GoBack"/>
      <w:r w:rsidRPr="00FB0D32">
        <w:rPr>
          <w:rFonts w:ascii="Arial" w:eastAsia="Times New Roman" w:hAnsi="Arial" w:cs="Arial"/>
          <w:b/>
          <w:sz w:val="24"/>
          <w:szCs w:val="24"/>
        </w:rPr>
        <w:t xml:space="preserve">Public Sector Apprenticeship Target Annual Return </w:t>
      </w:r>
      <w:bookmarkEnd w:id="0"/>
      <w:r w:rsidRPr="00FB0D32">
        <w:rPr>
          <w:rFonts w:ascii="Arial" w:eastAsia="Times New Roman" w:hAnsi="Arial" w:cs="Arial"/>
          <w:b/>
          <w:sz w:val="24"/>
          <w:szCs w:val="24"/>
        </w:rPr>
        <w:t xml:space="preserve">- Ashford Borough Council </w:t>
      </w:r>
    </w:p>
    <w:p w:rsidR="00FB0D32" w:rsidRPr="00FB0D32" w:rsidRDefault="00FB0D32" w:rsidP="00FB0D32">
      <w:pPr>
        <w:spacing w:after="0" w:line="240" w:lineRule="auto"/>
        <w:jc w:val="both"/>
        <w:rPr>
          <w:rFonts w:ascii="Arial" w:eastAsia="Times New Roman" w:hAnsi="Arial" w:cs="Arial"/>
          <w:b/>
          <w:sz w:val="24"/>
          <w:szCs w:val="24"/>
        </w:rPr>
      </w:pPr>
    </w:p>
    <w:p w:rsidR="00FB0D32" w:rsidRPr="00FB0D32" w:rsidRDefault="00FB0D32" w:rsidP="00FB0D32">
      <w:pPr>
        <w:spacing w:after="0" w:line="240" w:lineRule="auto"/>
        <w:jc w:val="both"/>
        <w:rPr>
          <w:rFonts w:ascii="Arial" w:eastAsia="Times New Roman" w:hAnsi="Arial" w:cs="Arial"/>
          <w:b/>
          <w:sz w:val="24"/>
          <w:szCs w:val="24"/>
        </w:rPr>
      </w:pPr>
      <w:r w:rsidRPr="00FB0D32">
        <w:rPr>
          <w:rFonts w:ascii="Arial" w:eastAsia="Times New Roman" w:hAnsi="Arial" w:cs="Arial"/>
          <w:b/>
          <w:sz w:val="24"/>
          <w:szCs w:val="24"/>
        </w:rPr>
        <w:t>1 April 2021 – 31 March 2022</w:t>
      </w:r>
    </w:p>
    <w:p w:rsidR="00FB0D32" w:rsidRPr="00FB0D32" w:rsidRDefault="00FB0D32" w:rsidP="00FB0D32">
      <w:pPr>
        <w:spacing w:after="0" w:line="240" w:lineRule="auto"/>
        <w:jc w:val="both"/>
        <w:rPr>
          <w:rFonts w:ascii="Arial" w:eastAsia="Times New Roman" w:hAnsi="Arial" w:cs="Arial"/>
          <w:b/>
          <w:sz w:val="24"/>
          <w:szCs w:val="24"/>
        </w:rPr>
      </w:pPr>
    </w:p>
    <w:p w:rsidR="00FB0D32" w:rsidRPr="00FB0D32" w:rsidRDefault="00FB0D32" w:rsidP="00FB0D32">
      <w:pPr>
        <w:spacing w:after="0" w:line="240" w:lineRule="auto"/>
        <w:jc w:val="both"/>
        <w:rPr>
          <w:rFonts w:ascii="Arial" w:eastAsia="Times New Roman" w:hAnsi="Arial" w:cs="Arial"/>
          <w:b/>
          <w:sz w:val="24"/>
          <w:szCs w:val="24"/>
        </w:rPr>
      </w:pPr>
      <w:r w:rsidRPr="00FB0D32">
        <w:rPr>
          <w:rFonts w:ascii="Arial" w:eastAsia="Times New Roman" w:hAnsi="Arial" w:cs="Arial"/>
          <w:b/>
          <w:sz w:val="24"/>
          <w:szCs w:val="24"/>
        </w:rPr>
        <w:t>Section 1 – Data Publication</w:t>
      </w:r>
    </w:p>
    <w:p w:rsidR="00FB0D32" w:rsidRPr="00FB0D32" w:rsidRDefault="00FB0D32" w:rsidP="00FB0D32">
      <w:pPr>
        <w:spacing w:after="0" w:line="240" w:lineRule="auto"/>
        <w:jc w:val="both"/>
        <w:rPr>
          <w:rFonts w:ascii="Arial" w:eastAsia="Times New Roman" w:hAnsi="Arial" w:cs="Arial"/>
          <w:b/>
          <w:sz w:val="24"/>
          <w:szCs w:val="24"/>
        </w:rPr>
      </w:pPr>
    </w:p>
    <w:p w:rsidR="00FB0D32" w:rsidRPr="00FB0D32" w:rsidRDefault="00FB0D32" w:rsidP="00FB0D32">
      <w:pPr>
        <w:suppressAutoHyphens/>
        <w:spacing w:after="0" w:line="240" w:lineRule="auto"/>
        <w:contextualSpacing/>
        <w:jc w:val="both"/>
        <w:rPr>
          <w:rFonts w:ascii="Arial" w:eastAsia="SimSun" w:hAnsi="Arial" w:cs="Arial"/>
          <w:b/>
          <w:kern w:val="1"/>
          <w:lang w:eastAsia="ar-SA"/>
        </w:rPr>
      </w:pPr>
      <w:r w:rsidRPr="00FB0D32">
        <w:rPr>
          <w:rFonts w:ascii="Arial" w:eastAsia="SimSun" w:hAnsi="Arial" w:cs="Arial"/>
          <w:kern w:val="1"/>
          <w:lang w:eastAsia="ar-SA"/>
        </w:rPr>
        <w:t xml:space="preserve">The Public Sector Apprenticeship Targets Regulations 2017 require public sector bodies (including local authorities), who employ more than 250 employees, to </w:t>
      </w:r>
      <w:r w:rsidRPr="00FB0D32">
        <w:rPr>
          <w:rFonts w:ascii="Arial" w:eastAsia="SimSun" w:hAnsi="Arial" w:cs="Arial"/>
          <w:b/>
          <w:kern w:val="1"/>
          <w:lang w:eastAsia="ar-SA"/>
        </w:rPr>
        <w:t>employ at least 2.3% of their staff as new apprentice starts</w:t>
      </w:r>
      <w:r w:rsidRPr="00FB0D32">
        <w:rPr>
          <w:rFonts w:ascii="Arial" w:eastAsia="SimSun" w:hAnsi="Arial" w:cs="Arial"/>
          <w:kern w:val="1"/>
          <w:lang w:eastAsia="ar-SA"/>
        </w:rPr>
        <w:t xml:space="preserve"> over the period </w:t>
      </w:r>
      <w:r w:rsidRPr="00FB0D32">
        <w:rPr>
          <w:rFonts w:ascii="Arial" w:eastAsia="SimSun" w:hAnsi="Arial" w:cs="Arial"/>
          <w:b/>
          <w:kern w:val="1"/>
          <w:lang w:eastAsia="ar-SA"/>
        </w:rPr>
        <w:t>1 April 2017 to 31 March 2022.</w:t>
      </w:r>
    </w:p>
    <w:p w:rsidR="00FB0D32" w:rsidRPr="00FB0D32" w:rsidRDefault="00FB0D32" w:rsidP="00FB0D32">
      <w:pPr>
        <w:suppressAutoHyphens/>
        <w:spacing w:after="0" w:line="240" w:lineRule="auto"/>
        <w:contextualSpacing/>
        <w:jc w:val="both"/>
        <w:rPr>
          <w:rFonts w:ascii="Arial" w:eastAsia="SimSun" w:hAnsi="Arial" w:cs="Arial"/>
          <w:color w:val="70AD47"/>
          <w:kern w:val="1"/>
          <w:lang w:eastAsia="ar-SA"/>
        </w:rPr>
      </w:pPr>
    </w:p>
    <w:p w:rsidR="00FB0D32" w:rsidRPr="00FB0D32" w:rsidRDefault="00FB0D32" w:rsidP="00FB0D32">
      <w:pPr>
        <w:suppressAutoHyphens/>
        <w:spacing w:after="0" w:line="240" w:lineRule="auto"/>
        <w:contextualSpacing/>
        <w:jc w:val="both"/>
        <w:rPr>
          <w:rFonts w:ascii="Arial" w:eastAsia="SimSun" w:hAnsi="Arial" w:cs="Arial"/>
          <w:kern w:val="1"/>
          <w:lang w:eastAsia="ar-SA"/>
        </w:rPr>
      </w:pPr>
      <w:r w:rsidRPr="00FB0D32">
        <w:rPr>
          <w:rFonts w:ascii="Arial" w:eastAsia="SimSun" w:hAnsi="Arial" w:cs="Arial"/>
          <w:kern w:val="1"/>
          <w:lang w:eastAsia="ar-SA"/>
        </w:rPr>
        <w:t xml:space="preserve">Although the target period is 1 April 2017 to 31 March 2022, public bodies must report their progress in meeting the target.  The target period is divided into reporting periods lasting a year each.  </w:t>
      </w:r>
    </w:p>
    <w:p w:rsidR="00FB0D32" w:rsidRPr="00FB0D32" w:rsidRDefault="00FB0D32" w:rsidP="00FB0D32">
      <w:pPr>
        <w:spacing w:after="0" w:line="240" w:lineRule="auto"/>
        <w:jc w:val="both"/>
        <w:rPr>
          <w:rFonts w:ascii="Arial" w:eastAsia="Times New Roman" w:hAnsi="Arial" w:cs="Arial"/>
          <w:b/>
          <w:sz w:val="24"/>
          <w:szCs w:val="24"/>
        </w:rPr>
      </w:pPr>
    </w:p>
    <w:p w:rsidR="00FB0D32" w:rsidRPr="00FB0D32" w:rsidRDefault="00FB0D32" w:rsidP="00FB0D32">
      <w:pPr>
        <w:spacing w:after="0" w:line="240" w:lineRule="auto"/>
        <w:jc w:val="both"/>
        <w:rPr>
          <w:rFonts w:ascii="Arial" w:eastAsia="Times New Roman" w:hAnsi="Arial" w:cs="Arial"/>
          <w:b/>
          <w:sz w:val="24"/>
          <w:szCs w:val="24"/>
        </w:rPr>
      </w:pPr>
      <w:r w:rsidRPr="00FB0D32">
        <w:rPr>
          <w:rFonts w:ascii="Arial" w:eastAsia="Times New Roman" w:hAnsi="Arial" w:cs="Arial"/>
          <w:b/>
          <w:sz w:val="24"/>
          <w:szCs w:val="24"/>
        </w:rPr>
        <w:t>Ashford Borough Council is pleased to publish progress made in the reporting period of 01.04.2021 to 31.03.2022</w:t>
      </w:r>
    </w:p>
    <w:p w:rsidR="00FB0D32" w:rsidRPr="00FB0D32" w:rsidRDefault="00FB0D32" w:rsidP="00FB0D32">
      <w:pPr>
        <w:spacing w:after="0" w:line="240" w:lineRule="auto"/>
        <w:jc w:val="both"/>
        <w:rPr>
          <w:rFonts w:ascii="Arial" w:eastAsia="Times New Roman" w:hAnsi="Arial" w:cs="Arial"/>
          <w:b/>
          <w:color w:val="70AD47"/>
          <w:sz w:val="24"/>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1559"/>
        <w:gridCol w:w="1843"/>
      </w:tblGrid>
      <w:tr w:rsidR="00FB0D32" w:rsidRPr="00FB0D32" w:rsidTr="00FB0D32">
        <w:trPr>
          <w:trHeight w:val="594"/>
        </w:trPr>
        <w:tc>
          <w:tcPr>
            <w:tcW w:w="5699" w:type="dxa"/>
            <w:shd w:val="clear" w:color="auto" w:fill="auto"/>
          </w:tcPr>
          <w:p w:rsidR="00FB0D32" w:rsidRPr="00FB0D32" w:rsidRDefault="00FB0D32" w:rsidP="00FB0D32">
            <w:pPr>
              <w:spacing w:after="0" w:line="240" w:lineRule="auto"/>
              <w:jc w:val="both"/>
              <w:rPr>
                <w:rFonts w:ascii="Arial" w:eastAsia="Calibri" w:hAnsi="Arial" w:cs="Arial"/>
                <w:b/>
              </w:rPr>
            </w:pPr>
            <w:r w:rsidRPr="00FB0D32">
              <w:rPr>
                <w:rFonts w:ascii="Arial" w:eastAsia="Calibri" w:hAnsi="Arial" w:cs="Arial"/>
                <w:b/>
              </w:rPr>
              <w:t>Data Period</w:t>
            </w:r>
          </w:p>
          <w:p w:rsidR="00FB0D32" w:rsidRPr="00FB0D32" w:rsidRDefault="00FB0D32" w:rsidP="00FB0D32">
            <w:pPr>
              <w:spacing w:after="0" w:line="240" w:lineRule="auto"/>
              <w:jc w:val="both"/>
              <w:rPr>
                <w:rFonts w:ascii="Arial" w:eastAsia="Calibri" w:hAnsi="Arial" w:cs="Arial"/>
                <w:b/>
              </w:rPr>
            </w:pPr>
          </w:p>
        </w:tc>
        <w:tc>
          <w:tcPr>
            <w:tcW w:w="3402" w:type="dxa"/>
            <w:gridSpan w:val="2"/>
          </w:tcPr>
          <w:p w:rsidR="00FB0D32" w:rsidRPr="00FB0D32" w:rsidRDefault="00FB0D32" w:rsidP="00FB0D32">
            <w:pPr>
              <w:spacing w:after="0" w:line="240" w:lineRule="auto"/>
              <w:rPr>
                <w:rFonts w:ascii="Arial" w:eastAsia="Times New Roman" w:hAnsi="Arial" w:cs="Arial"/>
                <w:sz w:val="24"/>
                <w:szCs w:val="24"/>
              </w:rPr>
            </w:pPr>
            <w:r w:rsidRPr="00FB0D32">
              <w:rPr>
                <w:rFonts w:ascii="Arial" w:eastAsia="Calibri" w:hAnsi="Arial" w:cs="Arial"/>
                <w:b/>
              </w:rPr>
              <w:t>1 April 2021 – 31 March 2022</w:t>
            </w:r>
          </w:p>
        </w:tc>
      </w:tr>
      <w:tr w:rsidR="00FB0D32" w:rsidRPr="00FB0D32" w:rsidTr="00FB0D32">
        <w:trPr>
          <w:trHeight w:val="594"/>
        </w:trPr>
        <w:tc>
          <w:tcPr>
            <w:tcW w:w="5699" w:type="dxa"/>
            <w:shd w:val="clear" w:color="auto" w:fill="auto"/>
          </w:tcPr>
          <w:p w:rsidR="00FB0D32" w:rsidRPr="00FB0D32" w:rsidRDefault="00FB0D32" w:rsidP="00FB0D32">
            <w:pPr>
              <w:spacing w:after="0" w:line="240" w:lineRule="auto"/>
              <w:jc w:val="both"/>
              <w:rPr>
                <w:rFonts w:ascii="Arial" w:eastAsia="Calibri" w:hAnsi="Arial" w:cs="Arial"/>
              </w:rPr>
            </w:pPr>
            <w:r w:rsidRPr="00FB0D32">
              <w:rPr>
                <w:rFonts w:ascii="Arial" w:eastAsia="Calibri" w:hAnsi="Arial" w:cs="Arial"/>
                <w:b/>
              </w:rPr>
              <w:t xml:space="preserve">Figure A - </w:t>
            </w:r>
            <w:r w:rsidRPr="00FB0D32">
              <w:rPr>
                <w:rFonts w:ascii="Arial" w:eastAsia="Calibri" w:hAnsi="Arial" w:cs="Arial"/>
              </w:rPr>
              <w:t>The number of employees whose employment in England by the body (ABC) began in the reporting period in question.</w:t>
            </w:r>
          </w:p>
          <w:p w:rsidR="00FB0D32" w:rsidRPr="00FB0D32" w:rsidRDefault="00FB0D32" w:rsidP="00FB0D32">
            <w:pPr>
              <w:spacing w:after="0" w:line="240" w:lineRule="auto"/>
              <w:jc w:val="both"/>
              <w:rPr>
                <w:rFonts w:ascii="Arial" w:eastAsia="Calibri" w:hAnsi="Arial" w:cs="Arial"/>
              </w:rPr>
            </w:pPr>
          </w:p>
        </w:tc>
        <w:tc>
          <w:tcPr>
            <w:tcW w:w="1559" w:type="dxa"/>
          </w:tcPr>
          <w:p w:rsidR="00FB0D32" w:rsidRPr="00FB0D32" w:rsidRDefault="00FB0D32" w:rsidP="00FB0D32">
            <w:pPr>
              <w:spacing w:after="0" w:line="240" w:lineRule="auto"/>
              <w:jc w:val="both"/>
              <w:rPr>
                <w:rFonts w:ascii="Arial" w:eastAsia="Calibri" w:hAnsi="Arial" w:cs="Arial"/>
                <w:b/>
              </w:rPr>
            </w:pPr>
            <w:r w:rsidRPr="00FB0D32">
              <w:rPr>
                <w:rFonts w:ascii="Arial" w:eastAsia="Calibri" w:hAnsi="Arial" w:cs="Arial"/>
                <w:b/>
              </w:rPr>
              <w:t>118</w:t>
            </w:r>
          </w:p>
        </w:tc>
        <w:tc>
          <w:tcPr>
            <w:tcW w:w="1843" w:type="dxa"/>
          </w:tcPr>
          <w:p w:rsidR="00FB0D32" w:rsidRPr="00FB0D32" w:rsidRDefault="00FB0D32" w:rsidP="00FB0D32">
            <w:pPr>
              <w:spacing w:after="0" w:line="240" w:lineRule="auto"/>
              <w:jc w:val="both"/>
              <w:rPr>
                <w:rFonts w:ascii="Arial" w:eastAsia="Calibri" w:hAnsi="Arial" w:cs="Arial"/>
                <w:b/>
              </w:rPr>
            </w:pPr>
            <w:r w:rsidRPr="00FB0D32">
              <w:rPr>
                <w:rFonts w:ascii="Arial" w:eastAsia="Calibri" w:hAnsi="Arial" w:cs="Arial"/>
                <w:b/>
              </w:rPr>
              <w:t>114.53 FTE</w:t>
            </w:r>
          </w:p>
        </w:tc>
      </w:tr>
      <w:tr w:rsidR="00FB0D32" w:rsidRPr="00FB0D32" w:rsidTr="00FB0D32">
        <w:tc>
          <w:tcPr>
            <w:tcW w:w="5699" w:type="dxa"/>
            <w:shd w:val="clear" w:color="auto" w:fill="auto"/>
          </w:tcPr>
          <w:p w:rsidR="00FB0D32" w:rsidRPr="00FB0D32" w:rsidRDefault="00FB0D32" w:rsidP="00FB0D32">
            <w:pPr>
              <w:spacing w:after="0" w:line="240" w:lineRule="auto"/>
              <w:jc w:val="both"/>
              <w:rPr>
                <w:rFonts w:ascii="Arial" w:eastAsia="Calibri" w:hAnsi="Arial" w:cs="Arial"/>
              </w:rPr>
            </w:pPr>
            <w:r w:rsidRPr="00FB0D32">
              <w:rPr>
                <w:rFonts w:ascii="Arial" w:eastAsia="Calibri" w:hAnsi="Arial" w:cs="Arial"/>
                <w:b/>
              </w:rPr>
              <w:t xml:space="preserve">Figure B - </w:t>
            </w:r>
            <w:r w:rsidRPr="00FB0D32">
              <w:rPr>
                <w:rFonts w:ascii="Arial" w:eastAsia="Calibri" w:hAnsi="Arial" w:cs="Arial"/>
              </w:rPr>
              <w:t xml:space="preserve">The number of apprentices who began to work for the body in that period and *whose apprenticeship agreements </w:t>
            </w:r>
            <w:r w:rsidRPr="00FB0D32">
              <w:rPr>
                <w:rFonts w:ascii="Arial" w:eastAsia="Calibri" w:hAnsi="Arial" w:cs="Arial"/>
                <w:u w:val="single"/>
              </w:rPr>
              <w:t>also</w:t>
            </w:r>
            <w:r w:rsidRPr="00FB0D32">
              <w:rPr>
                <w:rFonts w:ascii="Arial" w:eastAsia="Calibri" w:hAnsi="Arial" w:cs="Arial"/>
              </w:rPr>
              <w:t xml:space="preserve"> began in that period. </w:t>
            </w:r>
          </w:p>
          <w:p w:rsidR="00FB0D32" w:rsidRPr="00FB0D32" w:rsidRDefault="00FB0D32" w:rsidP="00FB0D32">
            <w:pPr>
              <w:spacing w:after="0" w:line="240" w:lineRule="auto"/>
              <w:jc w:val="both"/>
              <w:rPr>
                <w:rFonts w:ascii="Arial" w:eastAsia="Calibri" w:hAnsi="Arial" w:cs="Arial"/>
              </w:rPr>
            </w:pPr>
            <w:r w:rsidRPr="00FB0D32">
              <w:rPr>
                <w:rFonts w:ascii="Arial" w:eastAsia="Calibri" w:hAnsi="Arial" w:cs="Arial"/>
              </w:rPr>
              <w:t xml:space="preserve">*this incudes employees who were already working for the body (ABC) before beginning their apprenticeship, as well as new apprentice hires. </w:t>
            </w:r>
          </w:p>
        </w:tc>
        <w:tc>
          <w:tcPr>
            <w:tcW w:w="1559" w:type="dxa"/>
          </w:tcPr>
          <w:p w:rsidR="00FB0D32" w:rsidRPr="00FB0D32" w:rsidRDefault="00FB0D32" w:rsidP="00FB0D32">
            <w:pPr>
              <w:spacing w:after="0" w:line="240" w:lineRule="auto"/>
              <w:jc w:val="both"/>
              <w:rPr>
                <w:rFonts w:ascii="Arial" w:eastAsia="Calibri" w:hAnsi="Arial" w:cs="Arial"/>
                <w:b/>
              </w:rPr>
            </w:pPr>
            <w:r w:rsidRPr="00FB0D32">
              <w:rPr>
                <w:rFonts w:ascii="Arial" w:eastAsia="Calibri" w:hAnsi="Arial" w:cs="Arial"/>
                <w:b/>
              </w:rPr>
              <w:t>5</w:t>
            </w:r>
          </w:p>
        </w:tc>
        <w:tc>
          <w:tcPr>
            <w:tcW w:w="1843" w:type="dxa"/>
          </w:tcPr>
          <w:p w:rsidR="00FB0D32" w:rsidRPr="00FB0D32" w:rsidRDefault="00FB0D32" w:rsidP="00FB0D32">
            <w:pPr>
              <w:spacing w:after="0" w:line="240" w:lineRule="auto"/>
              <w:jc w:val="both"/>
              <w:rPr>
                <w:rFonts w:ascii="Arial" w:eastAsia="Calibri" w:hAnsi="Arial" w:cs="Arial"/>
                <w:b/>
              </w:rPr>
            </w:pPr>
            <w:r w:rsidRPr="00FB0D32">
              <w:rPr>
                <w:rFonts w:ascii="Arial" w:eastAsia="Calibri" w:hAnsi="Arial" w:cs="Arial"/>
                <w:b/>
              </w:rPr>
              <w:t>4.95 FTE</w:t>
            </w:r>
          </w:p>
        </w:tc>
      </w:tr>
      <w:tr w:rsidR="00FB0D32" w:rsidRPr="00FB0D32" w:rsidTr="00FB0D32">
        <w:tc>
          <w:tcPr>
            <w:tcW w:w="5699" w:type="dxa"/>
            <w:shd w:val="clear" w:color="auto" w:fill="auto"/>
          </w:tcPr>
          <w:p w:rsidR="00FB0D32" w:rsidRPr="00FB0D32" w:rsidRDefault="00FB0D32" w:rsidP="00FB0D32">
            <w:pPr>
              <w:spacing w:after="0" w:line="240" w:lineRule="auto"/>
              <w:jc w:val="both"/>
              <w:rPr>
                <w:rFonts w:ascii="Arial" w:eastAsia="Calibri" w:hAnsi="Arial" w:cs="Arial"/>
                <w:b/>
              </w:rPr>
            </w:pPr>
            <w:r w:rsidRPr="00FB0D32">
              <w:rPr>
                <w:rFonts w:ascii="Arial" w:eastAsia="Calibri" w:hAnsi="Arial" w:cs="Arial"/>
                <w:b/>
              </w:rPr>
              <w:t xml:space="preserve">Figure C - </w:t>
            </w:r>
            <w:r w:rsidRPr="00FB0D32">
              <w:rPr>
                <w:rFonts w:ascii="Arial" w:eastAsia="Calibri" w:hAnsi="Arial" w:cs="Arial"/>
              </w:rPr>
              <w:t xml:space="preserve">The number of employees employed at the end of that period </w:t>
            </w:r>
            <w:r w:rsidRPr="00FB0D32">
              <w:rPr>
                <w:rFonts w:ascii="Arial" w:eastAsia="Calibri" w:hAnsi="Arial" w:cs="Arial"/>
                <w:b/>
              </w:rPr>
              <w:t>31.03.2022</w:t>
            </w:r>
          </w:p>
          <w:p w:rsidR="00FB0D32" w:rsidRPr="00FB0D32" w:rsidRDefault="00FB0D32" w:rsidP="00FB0D32">
            <w:pPr>
              <w:spacing w:after="0" w:line="240" w:lineRule="auto"/>
              <w:jc w:val="both"/>
              <w:rPr>
                <w:rFonts w:ascii="Arial" w:eastAsia="Calibri" w:hAnsi="Arial" w:cs="Arial"/>
              </w:rPr>
            </w:pPr>
          </w:p>
        </w:tc>
        <w:tc>
          <w:tcPr>
            <w:tcW w:w="1559" w:type="dxa"/>
          </w:tcPr>
          <w:p w:rsidR="00FB0D32" w:rsidRPr="00FB0D32" w:rsidRDefault="00FB0D32" w:rsidP="00FB0D32">
            <w:pPr>
              <w:spacing w:after="0" w:line="240" w:lineRule="auto"/>
              <w:jc w:val="both"/>
              <w:rPr>
                <w:rFonts w:ascii="Arial" w:eastAsia="Times New Roman" w:hAnsi="Arial" w:cs="Arial"/>
                <w:b/>
              </w:rPr>
            </w:pPr>
            <w:r w:rsidRPr="00FB0D32">
              <w:rPr>
                <w:rFonts w:ascii="Arial" w:eastAsia="Times New Roman" w:hAnsi="Arial" w:cs="Arial"/>
                <w:b/>
              </w:rPr>
              <w:t>549</w:t>
            </w:r>
          </w:p>
        </w:tc>
        <w:tc>
          <w:tcPr>
            <w:tcW w:w="1843" w:type="dxa"/>
          </w:tcPr>
          <w:p w:rsidR="00FB0D32" w:rsidRPr="00FB0D32" w:rsidRDefault="00FB0D32" w:rsidP="00FB0D32">
            <w:pPr>
              <w:spacing w:after="0" w:line="240" w:lineRule="auto"/>
              <w:jc w:val="both"/>
              <w:rPr>
                <w:rFonts w:ascii="Arial" w:eastAsia="Times New Roman" w:hAnsi="Arial" w:cs="Arial"/>
                <w:b/>
              </w:rPr>
            </w:pPr>
            <w:r w:rsidRPr="00FB0D32">
              <w:rPr>
                <w:rFonts w:ascii="Arial" w:eastAsia="Times New Roman" w:hAnsi="Arial" w:cs="Arial"/>
                <w:b/>
              </w:rPr>
              <w:t>509.29</w:t>
            </w:r>
          </w:p>
        </w:tc>
      </w:tr>
      <w:tr w:rsidR="00FB0D32" w:rsidRPr="00FB0D32" w:rsidTr="00FB0D32">
        <w:trPr>
          <w:trHeight w:val="565"/>
        </w:trPr>
        <w:tc>
          <w:tcPr>
            <w:tcW w:w="5699" w:type="dxa"/>
            <w:shd w:val="clear" w:color="auto" w:fill="auto"/>
          </w:tcPr>
          <w:p w:rsidR="00FB0D32" w:rsidRPr="00FB0D32" w:rsidRDefault="00FB0D32" w:rsidP="00FB0D32">
            <w:pPr>
              <w:spacing w:after="0" w:line="240" w:lineRule="auto"/>
              <w:jc w:val="both"/>
              <w:rPr>
                <w:rFonts w:ascii="Arial" w:eastAsia="Calibri" w:hAnsi="Arial" w:cs="Arial"/>
                <w:b/>
              </w:rPr>
            </w:pPr>
            <w:r w:rsidRPr="00FB0D32">
              <w:rPr>
                <w:rFonts w:ascii="Arial" w:eastAsia="Calibri" w:hAnsi="Arial" w:cs="Arial"/>
                <w:b/>
              </w:rPr>
              <w:t xml:space="preserve">Figure D - </w:t>
            </w:r>
            <w:r w:rsidRPr="00FB0D32">
              <w:rPr>
                <w:rFonts w:ascii="Arial" w:eastAsia="Calibri" w:hAnsi="Arial" w:cs="Arial"/>
              </w:rPr>
              <w:t xml:space="preserve">The number of apprentices who work for the body at the end of that period. </w:t>
            </w:r>
            <w:r w:rsidRPr="00FB0D32">
              <w:rPr>
                <w:rFonts w:ascii="Arial" w:eastAsia="Calibri" w:hAnsi="Arial" w:cs="Arial"/>
                <w:b/>
              </w:rPr>
              <w:t>31.03.22.</w:t>
            </w:r>
          </w:p>
          <w:p w:rsidR="00FB0D32" w:rsidRPr="00FB0D32" w:rsidRDefault="00FB0D32" w:rsidP="00FB0D32">
            <w:pPr>
              <w:spacing w:after="0" w:line="240" w:lineRule="auto"/>
              <w:jc w:val="both"/>
              <w:rPr>
                <w:rFonts w:ascii="Arial" w:eastAsia="Calibri" w:hAnsi="Arial" w:cs="Arial"/>
              </w:rPr>
            </w:pPr>
          </w:p>
        </w:tc>
        <w:tc>
          <w:tcPr>
            <w:tcW w:w="1559" w:type="dxa"/>
          </w:tcPr>
          <w:p w:rsidR="00FB0D32" w:rsidRPr="00FB0D32" w:rsidRDefault="00FB0D32" w:rsidP="00FB0D32">
            <w:pPr>
              <w:spacing w:after="0" w:line="240" w:lineRule="auto"/>
              <w:jc w:val="both"/>
              <w:rPr>
                <w:rFonts w:ascii="Arial" w:eastAsia="Calibri" w:hAnsi="Arial" w:cs="Arial"/>
                <w:b/>
              </w:rPr>
            </w:pPr>
            <w:r w:rsidRPr="00FB0D32">
              <w:rPr>
                <w:rFonts w:ascii="Arial" w:eastAsia="Calibri" w:hAnsi="Arial" w:cs="Arial"/>
                <w:b/>
              </w:rPr>
              <w:t>10</w:t>
            </w:r>
          </w:p>
          <w:p w:rsidR="00FB0D32" w:rsidRPr="00FB0D32" w:rsidRDefault="00FB0D32" w:rsidP="00FB0D32">
            <w:pPr>
              <w:spacing w:after="0" w:line="240" w:lineRule="auto"/>
              <w:jc w:val="both"/>
              <w:rPr>
                <w:rFonts w:ascii="Arial" w:eastAsia="Calibri" w:hAnsi="Arial" w:cs="Arial"/>
                <w:b/>
              </w:rPr>
            </w:pPr>
            <w:r w:rsidRPr="00FB0D32">
              <w:rPr>
                <w:rFonts w:ascii="Arial" w:eastAsia="Calibri" w:hAnsi="Arial" w:cs="Arial"/>
                <w:b/>
              </w:rPr>
              <w:t xml:space="preserve"> </w:t>
            </w:r>
          </w:p>
        </w:tc>
        <w:tc>
          <w:tcPr>
            <w:tcW w:w="1843" w:type="dxa"/>
          </w:tcPr>
          <w:p w:rsidR="00FB0D32" w:rsidRPr="00FB0D32" w:rsidRDefault="00FB0D32" w:rsidP="00FB0D32">
            <w:pPr>
              <w:spacing w:after="0" w:line="240" w:lineRule="auto"/>
              <w:jc w:val="both"/>
              <w:rPr>
                <w:rFonts w:ascii="Arial" w:eastAsia="Calibri" w:hAnsi="Arial" w:cs="Arial"/>
                <w:b/>
              </w:rPr>
            </w:pPr>
            <w:r w:rsidRPr="00FB0D32">
              <w:rPr>
                <w:rFonts w:ascii="Arial" w:eastAsia="Calibri" w:hAnsi="Arial" w:cs="Arial"/>
                <w:b/>
              </w:rPr>
              <w:t>10</w:t>
            </w:r>
          </w:p>
        </w:tc>
      </w:tr>
      <w:tr w:rsidR="00FB0D32" w:rsidRPr="00FB0D32" w:rsidTr="00FB0D32">
        <w:tc>
          <w:tcPr>
            <w:tcW w:w="5699" w:type="dxa"/>
            <w:shd w:val="clear" w:color="auto" w:fill="auto"/>
          </w:tcPr>
          <w:p w:rsidR="00FB0D32" w:rsidRPr="00FB0D32" w:rsidRDefault="00FB0D32" w:rsidP="00FB0D32">
            <w:pPr>
              <w:spacing w:after="0" w:line="240" w:lineRule="auto"/>
              <w:jc w:val="both"/>
              <w:rPr>
                <w:rFonts w:ascii="Arial" w:eastAsia="Calibri" w:hAnsi="Arial" w:cs="Arial"/>
              </w:rPr>
            </w:pPr>
            <w:r w:rsidRPr="00FB0D32">
              <w:rPr>
                <w:rFonts w:ascii="Arial" w:eastAsia="Calibri" w:hAnsi="Arial" w:cs="Arial"/>
                <w:b/>
              </w:rPr>
              <w:t xml:space="preserve">Figure E - </w:t>
            </w:r>
            <w:r w:rsidRPr="00FB0D32">
              <w:rPr>
                <w:rFonts w:ascii="Arial" w:eastAsia="Calibri" w:hAnsi="Arial" w:cs="Arial"/>
              </w:rPr>
              <w:t>Figure B expressed as a percentage of Figure A</w:t>
            </w:r>
          </w:p>
          <w:p w:rsidR="00FB0D32" w:rsidRPr="00FB0D32" w:rsidRDefault="00FB0D32" w:rsidP="00FB0D32">
            <w:pPr>
              <w:spacing w:after="0" w:line="240" w:lineRule="auto"/>
              <w:jc w:val="both"/>
              <w:rPr>
                <w:rFonts w:ascii="Arial" w:eastAsia="Calibri" w:hAnsi="Arial" w:cs="Arial"/>
              </w:rPr>
            </w:pPr>
          </w:p>
        </w:tc>
        <w:tc>
          <w:tcPr>
            <w:tcW w:w="1559" w:type="dxa"/>
            <w:shd w:val="clear" w:color="auto" w:fill="DBDBDB"/>
          </w:tcPr>
          <w:p w:rsidR="00FB0D32" w:rsidRPr="00FB0D32" w:rsidRDefault="00FB0D32" w:rsidP="00FB0D32">
            <w:pPr>
              <w:spacing w:after="0" w:line="240" w:lineRule="auto"/>
              <w:jc w:val="both"/>
              <w:rPr>
                <w:rFonts w:ascii="Arial" w:eastAsia="Calibri" w:hAnsi="Arial" w:cs="Arial"/>
                <w:b/>
              </w:rPr>
            </w:pPr>
            <w:r w:rsidRPr="00FB0D32">
              <w:rPr>
                <w:rFonts w:ascii="Arial" w:eastAsia="Calibri" w:hAnsi="Arial" w:cs="Arial"/>
                <w:b/>
              </w:rPr>
              <w:t>4.24%</w:t>
            </w:r>
          </w:p>
        </w:tc>
        <w:tc>
          <w:tcPr>
            <w:tcW w:w="1843" w:type="dxa"/>
            <w:shd w:val="clear" w:color="auto" w:fill="DBDBDB"/>
          </w:tcPr>
          <w:p w:rsidR="00FB0D32" w:rsidRPr="00FB0D32" w:rsidRDefault="00FB0D32" w:rsidP="00FB0D32">
            <w:pPr>
              <w:spacing w:after="0" w:line="240" w:lineRule="auto"/>
              <w:jc w:val="both"/>
              <w:rPr>
                <w:rFonts w:ascii="Arial" w:eastAsia="Calibri" w:hAnsi="Arial" w:cs="Arial"/>
                <w:b/>
              </w:rPr>
            </w:pPr>
            <w:r w:rsidRPr="00FB0D32">
              <w:rPr>
                <w:rFonts w:ascii="Arial" w:eastAsia="Calibri" w:hAnsi="Arial" w:cs="Arial"/>
                <w:b/>
              </w:rPr>
              <w:t>4.32%</w:t>
            </w:r>
          </w:p>
        </w:tc>
      </w:tr>
      <w:tr w:rsidR="00FB0D32" w:rsidRPr="00FB0D32" w:rsidTr="00FB0D32">
        <w:tc>
          <w:tcPr>
            <w:tcW w:w="5699" w:type="dxa"/>
            <w:shd w:val="clear" w:color="auto" w:fill="auto"/>
          </w:tcPr>
          <w:p w:rsidR="00FB0D32" w:rsidRPr="00FB0D32" w:rsidRDefault="00FB0D32" w:rsidP="00FB0D32">
            <w:pPr>
              <w:spacing w:after="0" w:line="240" w:lineRule="auto"/>
              <w:jc w:val="both"/>
              <w:rPr>
                <w:rFonts w:ascii="Arial" w:eastAsia="Calibri" w:hAnsi="Arial" w:cs="Arial"/>
              </w:rPr>
            </w:pPr>
            <w:r w:rsidRPr="00FB0D32">
              <w:rPr>
                <w:rFonts w:ascii="Arial" w:eastAsia="Calibri" w:hAnsi="Arial" w:cs="Arial"/>
                <w:b/>
              </w:rPr>
              <w:t xml:space="preserve">Figure F - </w:t>
            </w:r>
            <w:r w:rsidRPr="00FB0D32">
              <w:rPr>
                <w:rFonts w:ascii="Arial" w:eastAsia="Calibri" w:hAnsi="Arial" w:cs="Arial"/>
              </w:rPr>
              <w:t>Figure D expressed as a percentage of Figure C.</w:t>
            </w:r>
          </w:p>
          <w:p w:rsidR="00FB0D32" w:rsidRPr="00FB0D32" w:rsidRDefault="00FB0D32" w:rsidP="00FB0D32">
            <w:pPr>
              <w:spacing w:after="0" w:line="240" w:lineRule="auto"/>
              <w:jc w:val="both"/>
              <w:rPr>
                <w:rFonts w:ascii="Arial" w:eastAsia="Calibri" w:hAnsi="Arial" w:cs="Arial"/>
              </w:rPr>
            </w:pPr>
          </w:p>
        </w:tc>
        <w:tc>
          <w:tcPr>
            <w:tcW w:w="1559" w:type="dxa"/>
            <w:shd w:val="clear" w:color="auto" w:fill="DBDBDB"/>
          </w:tcPr>
          <w:p w:rsidR="00FB0D32" w:rsidRPr="00FB0D32" w:rsidRDefault="00FB0D32" w:rsidP="00FB0D32">
            <w:pPr>
              <w:spacing w:after="0" w:line="240" w:lineRule="auto"/>
              <w:jc w:val="both"/>
              <w:rPr>
                <w:rFonts w:ascii="Arial" w:eastAsia="Calibri" w:hAnsi="Arial" w:cs="Arial"/>
                <w:b/>
              </w:rPr>
            </w:pPr>
            <w:r w:rsidRPr="00FB0D32">
              <w:rPr>
                <w:rFonts w:ascii="Arial" w:eastAsia="Calibri" w:hAnsi="Arial" w:cs="Arial"/>
                <w:b/>
              </w:rPr>
              <w:t>1.82%</w:t>
            </w:r>
          </w:p>
        </w:tc>
        <w:tc>
          <w:tcPr>
            <w:tcW w:w="1843" w:type="dxa"/>
            <w:shd w:val="clear" w:color="auto" w:fill="DBDBDB"/>
          </w:tcPr>
          <w:p w:rsidR="00FB0D32" w:rsidRPr="00FB0D32" w:rsidRDefault="00FB0D32" w:rsidP="00FB0D32">
            <w:pPr>
              <w:spacing w:after="0" w:line="240" w:lineRule="auto"/>
              <w:jc w:val="both"/>
              <w:rPr>
                <w:rFonts w:ascii="Arial" w:eastAsia="Calibri" w:hAnsi="Arial" w:cs="Arial"/>
                <w:b/>
              </w:rPr>
            </w:pPr>
            <w:r w:rsidRPr="00FB0D32">
              <w:rPr>
                <w:rFonts w:ascii="Arial" w:eastAsia="Calibri" w:hAnsi="Arial" w:cs="Arial"/>
                <w:b/>
              </w:rPr>
              <w:t>1.96</w:t>
            </w:r>
          </w:p>
        </w:tc>
      </w:tr>
      <w:tr w:rsidR="00FB0D32" w:rsidRPr="00FB0D32" w:rsidTr="00FB0D32">
        <w:tc>
          <w:tcPr>
            <w:tcW w:w="5699" w:type="dxa"/>
            <w:shd w:val="clear" w:color="auto" w:fill="auto"/>
          </w:tcPr>
          <w:p w:rsidR="00FB0D32" w:rsidRPr="00FB0D32" w:rsidRDefault="00FB0D32" w:rsidP="00FB0D32">
            <w:pPr>
              <w:spacing w:after="0" w:line="240" w:lineRule="auto"/>
              <w:jc w:val="both"/>
              <w:rPr>
                <w:rFonts w:ascii="Arial" w:eastAsia="Calibri" w:hAnsi="Arial" w:cs="Arial"/>
              </w:rPr>
            </w:pPr>
            <w:r w:rsidRPr="00FB0D32">
              <w:rPr>
                <w:rFonts w:ascii="Arial" w:eastAsia="Calibri" w:hAnsi="Arial" w:cs="Arial"/>
                <w:b/>
              </w:rPr>
              <w:t xml:space="preserve">Figure G - </w:t>
            </w:r>
            <w:r w:rsidRPr="00FB0D32">
              <w:rPr>
                <w:rFonts w:ascii="Arial" w:eastAsia="Calibri" w:hAnsi="Arial" w:cs="Arial"/>
              </w:rPr>
              <w:t>The number of apprentices who worked for the body immediately before that period (31.03.21)</w:t>
            </w:r>
          </w:p>
          <w:p w:rsidR="00FB0D32" w:rsidRPr="00FB0D32" w:rsidRDefault="00FB0D32" w:rsidP="00FB0D32">
            <w:pPr>
              <w:spacing w:after="0" w:line="240" w:lineRule="auto"/>
              <w:jc w:val="both"/>
              <w:rPr>
                <w:rFonts w:ascii="Arial" w:eastAsia="Calibri" w:hAnsi="Arial" w:cs="Arial"/>
              </w:rPr>
            </w:pPr>
          </w:p>
        </w:tc>
        <w:tc>
          <w:tcPr>
            <w:tcW w:w="1559" w:type="dxa"/>
          </w:tcPr>
          <w:p w:rsidR="00FB0D32" w:rsidRPr="00FB0D32" w:rsidRDefault="00FB0D32" w:rsidP="00FB0D32">
            <w:pPr>
              <w:spacing w:after="0" w:line="240" w:lineRule="auto"/>
              <w:ind w:left="360"/>
              <w:jc w:val="both"/>
              <w:rPr>
                <w:rFonts w:ascii="Arial" w:eastAsia="Calibri" w:hAnsi="Arial" w:cs="Arial"/>
                <w:b/>
                <w:color w:val="000000"/>
              </w:rPr>
            </w:pPr>
            <w:r w:rsidRPr="00FB0D32">
              <w:rPr>
                <w:rFonts w:ascii="Arial" w:eastAsia="Calibri" w:hAnsi="Arial" w:cs="Arial"/>
                <w:b/>
                <w:color w:val="000000"/>
              </w:rPr>
              <w:t>5</w:t>
            </w:r>
          </w:p>
          <w:p w:rsidR="00FB0D32" w:rsidRPr="00FB0D32" w:rsidRDefault="00FB0D32" w:rsidP="00FB0D32">
            <w:pPr>
              <w:spacing w:after="0" w:line="240" w:lineRule="auto"/>
              <w:ind w:left="360"/>
              <w:jc w:val="both"/>
              <w:rPr>
                <w:rFonts w:ascii="Arial" w:eastAsia="Calibri" w:hAnsi="Arial" w:cs="Arial"/>
                <w:b/>
                <w:color w:val="000000"/>
              </w:rPr>
            </w:pPr>
          </w:p>
          <w:p w:rsidR="00FB0D32" w:rsidRPr="00FB0D32" w:rsidRDefault="00FB0D32" w:rsidP="00FB0D32">
            <w:pPr>
              <w:spacing w:after="0" w:line="240" w:lineRule="auto"/>
              <w:jc w:val="both"/>
              <w:rPr>
                <w:rFonts w:ascii="Arial" w:eastAsia="Calibri" w:hAnsi="Arial" w:cs="Arial"/>
                <w:b/>
                <w:color w:val="000000"/>
              </w:rPr>
            </w:pPr>
            <w:r w:rsidRPr="00FB0D32">
              <w:rPr>
                <w:rFonts w:ascii="Arial" w:eastAsia="Calibri" w:hAnsi="Arial" w:cs="Arial"/>
                <w:b/>
                <w:color w:val="000000"/>
              </w:rPr>
              <w:t xml:space="preserve"> </w:t>
            </w:r>
          </w:p>
        </w:tc>
        <w:tc>
          <w:tcPr>
            <w:tcW w:w="1843" w:type="dxa"/>
          </w:tcPr>
          <w:p w:rsidR="00FB0D32" w:rsidRPr="00FB0D32" w:rsidRDefault="00FB0D32" w:rsidP="00FB0D32">
            <w:pPr>
              <w:spacing w:after="0" w:line="240" w:lineRule="auto"/>
              <w:jc w:val="both"/>
              <w:rPr>
                <w:rFonts w:ascii="Arial" w:eastAsia="Calibri" w:hAnsi="Arial" w:cs="Arial"/>
                <w:b/>
                <w:color w:val="000000"/>
              </w:rPr>
            </w:pPr>
            <w:r w:rsidRPr="00FB0D32">
              <w:rPr>
                <w:rFonts w:ascii="Arial" w:eastAsia="Calibri" w:hAnsi="Arial" w:cs="Arial"/>
                <w:b/>
                <w:color w:val="000000"/>
              </w:rPr>
              <w:t>4.89 FTE</w:t>
            </w:r>
          </w:p>
        </w:tc>
      </w:tr>
      <w:tr w:rsidR="00FB0D32" w:rsidRPr="00FB0D32" w:rsidTr="00FB0D32">
        <w:tc>
          <w:tcPr>
            <w:tcW w:w="5699" w:type="dxa"/>
            <w:shd w:val="clear" w:color="auto" w:fill="auto"/>
          </w:tcPr>
          <w:p w:rsidR="00FB0D32" w:rsidRPr="00FB0D32" w:rsidRDefault="00FB0D32" w:rsidP="00FB0D32">
            <w:pPr>
              <w:spacing w:after="0" w:line="240" w:lineRule="auto"/>
              <w:jc w:val="both"/>
              <w:rPr>
                <w:rFonts w:ascii="Arial" w:eastAsia="Calibri" w:hAnsi="Arial" w:cs="Arial"/>
              </w:rPr>
            </w:pPr>
            <w:r w:rsidRPr="00FB0D32">
              <w:rPr>
                <w:rFonts w:ascii="Arial" w:eastAsia="Calibri" w:hAnsi="Arial" w:cs="Arial"/>
                <w:b/>
              </w:rPr>
              <w:t xml:space="preserve">Figure H - </w:t>
            </w:r>
            <w:r w:rsidRPr="00FB0D32">
              <w:rPr>
                <w:rFonts w:ascii="Arial" w:eastAsia="Calibri" w:hAnsi="Arial" w:cs="Arial"/>
              </w:rPr>
              <w:t>Headcount on the day before the first day of each reporting period. – 31.03.2021</w:t>
            </w:r>
          </w:p>
          <w:p w:rsidR="00FB0D32" w:rsidRPr="00FB0D32" w:rsidRDefault="00FB0D32" w:rsidP="00FB0D32">
            <w:pPr>
              <w:spacing w:after="0" w:line="240" w:lineRule="auto"/>
              <w:jc w:val="both"/>
              <w:rPr>
                <w:rFonts w:ascii="Arial" w:eastAsia="Calibri" w:hAnsi="Arial" w:cs="Arial"/>
              </w:rPr>
            </w:pPr>
          </w:p>
        </w:tc>
        <w:tc>
          <w:tcPr>
            <w:tcW w:w="1559" w:type="dxa"/>
          </w:tcPr>
          <w:p w:rsidR="00FB0D32" w:rsidRPr="00FB0D32" w:rsidRDefault="00FB0D32" w:rsidP="00FB0D32">
            <w:pPr>
              <w:spacing w:after="0" w:line="240" w:lineRule="auto"/>
              <w:jc w:val="both"/>
              <w:rPr>
                <w:rFonts w:ascii="Arial" w:eastAsia="Calibri" w:hAnsi="Arial" w:cs="Arial"/>
                <w:b/>
                <w:color w:val="000000"/>
              </w:rPr>
            </w:pPr>
            <w:r w:rsidRPr="00FB0D32">
              <w:rPr>
                <w:rFonts w:ascii="Arial" w:eastAsia="Calibri" w:hAnsi="Arial" w:cs="Arial"/>
                <w:b/>
                <w:color w:val="000000"/>
              </w:rPr>
              <w:t>502</w:t>
            </w:r>
          </w:p>
        </w:tc>
        <w:tc>
          <w:tcPr>
            <w:tcW w:w="1843" w:type="dxa"/>
          </w:tcPr>
          <w:p w:rsidR="00FB0D32" w:rsidRPr="00FB0D32" w:rsidRDefault="00FB0D32" w:rsidP="00FB0D32">
            <w:pPr>
              <w:spacing w:after="0" w:line="240" w:lineRule="auto"/>
              <w:jc w:val="both"/>
              <w:rPr>
                <w:rFonts w:ascii="Arial" w:eastAsia="Calibri" w:hAnsi="Arial" w:cs="Arial"/>
                <w:b/>
                <w:color w:val="000000"/>
              </w:rPr>
            </w:pPr>
            <w:r w:rsidRPr="00FB0D32">
              <w:rPr>
                <w:rFonts w:ascii="Arial" w:eastAsia="Calibri" w:hAnsi="Arial" w:cs="Arial"/>
                <w:b/>
                <w:color w:val="000000"/>
              </w:rPr>
              <w:t>454.30</w:t>
            </w:r>
          </w:p>
        </w:tc>
      </w:tr>
      <w:tr w:rsidR="00FB0D32" w:rsidRPr="00FB0D32" w:rsidTr="00FB0D32">
        <w:tc>
          <w:tcPr>
            <w:tcW w:w="5699" w:type="dxa"/>
            <w:shd w:val="clear" w:color="auto" w:fill="auto"/>
          </w:tcPr>
          <w:p w:rsidR="00FB0D32" w:rsidRPr="00FB0D32" w:rsidRDefault="00FB0D32" w:rsidP="00FB0D32">
            <w:pPr>
              <w:spacing w:after="0" w:line="240" w:lineRule="auto"/>
              <w:jc w:val="both"/>
              <w:rPr>
                <w:rFonts w:ascii="Arial" w:eastAsia="Calibri" w:hAnsi="Arial" w:cs="Arial"/>
              </w:rPr>
            </w:pPr>
            <w:r w:rsidRPr="00FB0D32">
              <w:rPr>
                <w:rFonts w:ascii="Arial" w:eastAsia="Calibri" w:hAnsi="Arial" w:cs="Arial"/>
                <w:b/>
              </w:rPr>
              <w:t xml:space="preserve">Figure </w:t>
            </w:r>
            <w:proofErr w:type="gramStart"/>
            <w:r w:rsidRPr="00FB0D32">
              <w:rPr>
                <w:rFonts w:ascii="Arial" w:eastAsia="Calibri" w:hAnsi="Arial" w:cs="Arial"/>
                <w:b/>
              </w:rPr>
              <w:t>I</w:t>
            </w:r>
            <w:proofErr w:type="gramEnd"/>
            <w:r w:rsidRPr="00FB0D32">
              <w:rPr>
                <w:rFonts w:ascii="Arial" w:eastAsia="Calibri" w:hAnsi="Arial" w:cs="Arial"/>
                <w:b/>
              </w:rPr>
              <w:t xml:space="preserve"> - </w:t>
            </w:r>
            <w:r w:rsidRPr="00FB0D32">
              <w:rPr>
                <w:rFonts w:ascii="Arial" w:eastAsia="Calibri" w:hAnsi="Arial" w:cs="Arial"/>
              </w:rPr>
              <w:t>Figure B expressed as a % of Figure H.</w:t>
            </w:r>
          </w:p>
          <w:p w:rsidR="00FB0D32" w:rsidRPr="00FB0D32" w:rsidRDefault="00FB0D32" w:rsidP="00FB0D32">
            <w:pPr>
              <w:spacing w:after="0" w:line="240" w:lineRule="auto"/>
              <w:jc w:val="both"/>
              <w:rPr>
                <w:rFonts w:ascii="Arial" w:eastAsia="Calibri" w:hAnsi="Arial" w:cs="Arial"/>
              </w:rPr>
            </w:pPr>
          </w:p>
          <w:p w:rsidR="00FB0D32" w:rsidRPr="00FB0D32" w:rsidRDefault="00FB0D32" w:rsidP="00FB0D32">
            <w:pPr>
              <w:spacing w:after="0" w:line="240" w:lineRule="auto"/>
              <w:jc w:val="both"/>
              <w:rPr>
                <w:rFonts w:ascii="Arial" w:eastAsia="Calibri" w:hAnsi="Arial" w:cs="Arial"/>
                <w:b/>
              </w:rPr>
            </w:pPr>
          </w:p>
        </w:tc>
        <w:tc>
          <w:tcPr>
            <w:tcW w:w="1559" w:type="dxa"/>
            <w:shd w:val="clear" w:color="auto" w:fill="DBDBDB"/>
          </w:tcPr>
          <w:p w:rsidR="00FB0D32" w:rsidRPr="00FB0D32" w:rsidRDefault="00FB0D32" w:rsidP="00FB0D32">
            <w:pPr>
              <w:spacing w:after="0" w:line="240" w:lineRule="auto"/>
              <w:jc w:val="both"/>
              <w:rPr>
                <w:rFonts w:ascii="Arial" w:eastAsia="Calibri" w:hAnsi="Arial" w:cs="Arial"/>
                <w:b/>
              </w:rPr>
            </w:pPr>
            <w:r w:rsidRPr="00FB0D32">
              <w:rPr>
                <w:rFonts w:ascii="Arial" w:eastAsia="Calibri" w:hAnsi="Arial" w:cs="Arial"/>
                <w:b/>
              </w:rPr>
              <w:t>1.0%</w:t>
            </w:r>
          </w:p>
        </w:tc>
        <w:tc>
          <w:tcPr>
            <w:tcW w:w="1843" w:type="dxa"/>
            <w:shd w:val="clear" w:color="auto" w:fill="DBDBDB"/>
          </w:tcPr>
          <w:p w:rsidR="00FB0D32" w:rsidRPr="00FB0D32" w:rsidRDefault="00FB0D32" w:rsidP="00FB0D32">
            <w:pPr>
              <w:spacing w:after="0" w:line="240" w:lineRule="auto"/>
              <w:jc w:val="both"/>
              <w:rPr>
                <w:rFonts w:ascii="Arial" w:eastAsia="Calibri" w:hAnsi="Arial" w:cs="Arial"/>
                <w:b/>
              </w:rPr>
            </w:pPr>
            <w:r w:rsidRPr="00FB0D32">
              <w:rPr>
                <w:rFonts w:ascii="Arial" w:eastAsia="Calibri" w:hAnsi="Arial" w:cs="Arial"/>
                <w:b/>
              </w:rPr>
              <w:t>1.08%</w:t>
            </w:r>
          </w:p>
        </w:tc>
      </w:tr>
    </w:tbl>
    <w:p w:rsidR="00FB0D32" w:rsidRPr="00FB0D32" w:rsidRDefault="00FB0D32" w:rsidP="00FB0D32">
      <w:pPr>
        <w:spacing w:after="0" w:line="240" w:lineRule="auto"/>
        <w:rPr>
          <w:rFonts w:ascii="Arial" w:eastAsia="Times New Roman" w:hAnsi="Arial" w:cs="Arial"/>
          <w:sz w:val="24"/>
          <w:szCs w:val="24"/>
        </w:rPr>
      </w:pPr>
    </w:p>
    <w:p w:rsidR="00FB0D32" w:rsidRPr="00FB0D32" w:rsidRDefault="00FB0D32" w:rsidP="00FB0D32">
      <w:pPr>
        <w:spacing w:after="0" w:line="240" w:lineRule="auto"/>
        <w:rPr>
          <w:rFonts w:ascii="Arial" w:eastAsia="Times New Roman" w:hAnsi="Arial" w:cs="Arial"/>
          <w:b/>
          <w:sz w:val="24"/>
          <w:szCs w:val="24"/>
        </w:rPr>
      </w:pPr>
    </w:p>
    <w:p w:rsidR="00FB0D32" w:rsidRPr="00FB0D32" w:rsidRDefault="00FB0D32" w:rsidP="00FB0D32">
      <w:pPr>
        <w:spacing w:after="0" w:line="240" w:lineRule="auto"/>
        <w:jc w:val="both"/>
        <w:rPr>
          <w:rFonts w:ascii="Arial" w:eastAsia="Times New Roman" w:hAnsi="Arial" w:cs="Arial"/>
          <w:b/>
          <w:sz w:val="24"/>
          <w:szCs w:val="24"/>
        </w:rPr>
      </w:pPr>
    </w:p>
    <w:p w:rsidR="00FB0D32" w:rsidRPr="00FB0D32" w:rsidRDefault="00FB0D32" w:rsidP="00FB0D32">
      <w:pPr>
        <w:spacing w:after="0" w:line="240" w:lineRule="auto"/>
        <w:jc w:val="both"/>
        <w:rPr>
          <w:rFonts w:ascii="Arial" w:eastAsia="Times New Roman" w:hAnsi="Arial" w:cs="Arial"/>
          <w:b/>
          <w:sz w:val="24"/>
          <w:szCs w:val="24"/>
        </w:rPr>
      </w:pPr>
      <w:r w:rsidRPr="00FB0D32">
        <w:rPr>
          <w:rFonts w:ascii="Arial" w:eastAsia="Times New Roman" w:hAnsi="Arial" w:cs="Arial"/>
          <w:b/>
          <w:sz w:val="24"/>
          <w:szCs w:val="24"/>
        </w:rPr>
        <w:lastRenderedPageBreak/>
        <w:t xml:space="preserve">Public Sector Apprenticeship Target Annual Return - Ashford Borough Council </w:t>
      </w:r>
    </w:p>
    <w:p w:rsidR="00FB0D32" w:rsidRPr="00FB0D32" w:rsidRDefault="00FB0D32" w:rsidP="00FB0D32">
      <w:pPr>
        <w:spacing w:after="0" w:line="240" w:lineRule="auto"/>
        <w:jc w:val="both"/>
        <w:rPr>
          <w:rFonts w:ascii="Arial" w:eastAsia="Times New Roman" w:hAnsi="Arial" w:cs="Arial"/>
          <w:b/>
          <w:sz w:val="24"/>
          <w:szCs w:val="24"/>
        </w:rPr>
      </w:pPr>
    </w:p>
    <w:p w:rsidR="00FB0D32" w:rsidRPr="00FB0D32" w:rsidRDefault="00FB0D32" w:rsidP="00FB0D32">
      <w:pPr>
        <w:spacing w:after="0" w:line="240" w:lineRule="auto"/>
        <w:jc w:val="both"/>
        <w:rPr>
          <w:rFonts w:ascii="Arial" w:eastAsia="Times New Roman" w:hAnsi="Arial" w:cs="Arial"/>
          <w:b/>
          <w:sz w:val="24"/>
          <w:szCs w:val="24"/>
        </w:rPr>
      </w:pPr>
      <w:r w:rsidRPr="00FB0D32">
        <w:rPr>
          <w:rFonts w:ascii="Arial" w:eastAsia="Times New Roman" w:hAnsi="Arial" w:cs="Arial"/>
          <w:b/>
          <w:sz w:val="24"/>
          <w:szCs w:val="24"/>
        </w:rPr>
        <w:t>Section 2 – Apprenticeship Activity Return</w:t>
      </w:r>
      <w:r w:rsidRPr="00FB0D32">
        <w:rPr>
          <w:rFonts w:ascii="Arial" w:eastAsia="Times New Roman" w:hAnsi="Arial" w:cs="Arial"/>
          <w:b/>
          <w:sz w:val="24"/>
          <w:szCs w:val="24"/>
        </w:rPr>
        <w:tab/>
        <w:t>1 April 2021 – 31 March 2022</w:t>
      </w:r>
    </w:p>
    <w:p w:rsidR="00FB0D32" w:rsidRPr="00FB0D32" w:rsidRDefault="00FB0D32" w:rsidP="00FB0D32">
      <w:pPr>
        <w:spacing w:after="0" w:line="240" w:lineRule="auto"/>
        <w:jc w:val="both"/>
        <w:rPr>
          <w:rFonts w:ascii="Arial" w:eastAsia="Times New Roman" w:hAnsi="Arial" w:cs="Arial"/>
          <w:b/>
          <w:sz w:val="24"/>
          <w:szCs w:val="24"/>
        </w:rPr>
      </w:pPr>
    </w:p>
    <w:p w:rsidR="00FB0D32" w:rsidRPr="00FB0D32" w:rsidRDefault="00FB0D32" w:rsidP="00FB0D32">
      <w:pPr>
        <w:spacing w:after="0" w:line="240" w:lineRule="auto"/>
        <w:jc w:val="both"/>
        <w:rPr>
          <w:rFonts w:ascii="Arial" w:eastAsia="Times New Roman" w:hAnsi="Arial" w:cs="Arial"/>
          <w:b/>
          <w:sz w:val="24"/>
          <w:szCs w:val="24"/>
          <w:u w:val="single"/>
        </w:rPr>
      </w:pPr>
      <w:r w:rsidRPr="00FB0D32">
        <w:rPr>
          <w:rFonts w:ascii="Arial" w:eastAsia="Times New Roman" w:hAnsi="Arial" w:cs="Arial"/>
          <w:b/>
          <w:sz w:val="24"/>
          <w:szCs w:val="24"/>
          <w:u w:val="single"/>
        </w:rPr>
        <w:t>Factors that impacted your ability to meet the target</w:t>
      </w:r>
    </w:p>
    <w:p w:rsidR="00FB0D32" w:rsidRPr="00FB0D32" w:rsidRDefault="00FB0D32" w:rsidP="00FB0D32">
      <w:pPr>
        <w:spacing w:after="0" w:line="240" w:lineRule="auto"/>
        <w:jc w:val="both"/>
        <w:rPr>
          <w:rFonts w:ascii="Arial" w:eastAsia="Times New Roman" w:hAnsi="Arial" w:cs="Arial"/>
          <w:b/>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B0D32" w:rsidRPr="00FB0D32" w:rsidTr="00040F63">
        <w:tc>
          <w:tcPr>
            <w:tcW w:w="9214" w:type="dxa"/>
            <w:shd w:val="clear" w:color="auto" w:fill="auto"/>
          </w:tcPr>
          <w:p w:rsidR="00FB0D32" w:rsidRPr="00FB0D32" w:rsidRDefault="00FB0D32" w:rsidP="00FB0D32">
            <w:pPr>
              <w:spacing w:after="0" w:line="240" w:lineRule="auto"/>
              <w:jc w:val="both"/>
              <w:rPr>
                <w:rFonts w:ascii="Arial" w:eastAsia="Calibri" w:hAnsi="Arial" w:cs="Arial"/>
                <w:b/>
              </w:rPr>
            </w:pPr>
            <w:r w:rsidRPr="00FB0D32">
              <w:rPr>
                <w:rFonts w:ascii="Arial" w:eastAsia="Calibri" w:hAnsi="Arial" w:cs="Arial"/>
                <w:b/>
              </w:rPr>
              <w:t>Outline any actions you have taken to help you progress towards meeting the public sector target</w:t>
            </w:r>
          </w:p>
        </w:tc>
      </w:tr>
      <w:tr w:rsidR="00FB0D32" w:rsidRPr="00FB0D32" w:rsidTr="00040F63">
        <w:tc>
          <w:tcPr>
            <w:tcW w:w="9214" w:type="dxa"/>
            <w:shd w:val="clear" w:color="auto" w:fill="auto"/>
          </w:tcPr>
          <w:p w:rsidR="00FB0D32" w:rsidRPr="00FB0D32" w:rsidRDefault="00FB0D32" w:rsidP="00FB0D32">
            <w:pPr>
              <w:spacing w:after="0" w:line="240" w:lineRule="auto"/>
              <w:jc w:val="both"/>
              <w:rPr>
                <w:rFonts w:ascii="Arial" w:eastAsia="Calibri" w:hAnsi="Arial" w:cs="Arial"/>
                <w:color w:val="000000"/>
              </w:rPr>
            </w:pPr>
          </w:p>
          <w:p w:rsidR="00FB0D32" w:rsidRPr="00FB0D32" w:rsidRDefault="00FB0D32" w:rsidP="00FB0D32">
            <w:pPr>
              <w:spacing w:after="0" w:line="240" w:lineRule="auto"/>
              <w:jc w:val="both"/>
              <w:rPr>
                <w:rFonts w:ascii="Arial" w:eastAsia="Calibri" w:hAnsi="Arial" w:cs="Arial"/>
                <w:color w:val="000000"/>
              </w:rPr>
            </w:pPr>
            <w:r w:rsidRPr="00FB0D32">
              <w:rPr>
                <w:rFonts w:ascii="Arial" w:eastAsia="Calibri" w:hAnsi="Arial" w:cs="Arial"/>
                <w:color w:val="000000"/>
              </w:rPr>
              <w:t xml:space="preserve">We are focused to have achieved our Public Sector Apprenticeship Reporting Target for this review period and are focused on maintaining this across the 2017-2022 review period. </w:t>
            </w:r>
          </w:p>
          <w:p w:rsidR="00FB0D32" w:rsidRPr="00FB0D32" w:rsidRDefault="00FB0D32" w:rsidP="00FB0D32">
            <w:pPr>
              <w:spacing w:after="0" w:line="240" w:lineRule="auto"/>
              <w:jc w:val="both"/>
              <w:rPr>
                <w:rFonts w:ascii="Arial" w:eastAsia="Times New Roman" w:hAnsi="Arial" w:cs="Arial"/>
                <w:color w:val="000000"/>
                <w:lang w:val="en" w:eastAsia="en-GB"/>
              </w:rPr>
            </w:pPr>
            <w:r w:rsidRPr="00FB0D32">
              <w:rPr>
                <w:rFonts w:ascii="Arial" w:eastAsia="Calibri" w:hAnsi="Arial" w:cs="Arial"/>
                <w:color w:val="000000"/>
              </w:rPr>
              <w:t xml:space="preserve">A small number of apprenticeships commenced in this period in Housing and in Planning and Development.  In addition within this reporting period we increased our establishment by 25% in order to meet the government’s target of developing a new Border Control Facility within the borough. </w:t>
            </w:r>
          </w:p>
          <w:p w:rsidR="00FB0D32" w:rsidRPr="00FB0D32" w:rsidRDefault="00FB0D32" w:rsidP="00FB0D32">
            <w:pPr>
              <w:spacing w:after="0" w:line="240" w:lineRule="auto"/>
              <w:jc w:val="both"/>
              <w:rPr>
                <w:rFonts w:ascii="Arial" w:eastAsia="Calibri" w:hAnsi="Arial" w:cs="Arial"/>
                <w:b/>
                <w:color w:val="000000"/>
              </w:rPr>
            </w:pPr>
          </w:p>
        </w:tc>
      </w:tr>
      <w:tr w:rsidR="00FB0D32" w:rsidRPr="00FB0D32" w:rsidTr="00040F63">
        <w:tc>
          <w:tcPr>
            <w:tcW w:w="9214" w:type="dxa"/>
            <w:shd w:val="clear" w:color="auto" w:fill="auto"/>
          </w:tcPr>
          <w:p w:rsidR="00FB0D32" w:rsidRPr="00FB0D32" w:rsidRDefault="00FB0D32" w:rsidP="00FB0D32">
            <w:pPr>
              <w:spacing w:after="0" w:line="240" w:lineRule="auto"/>
              <w:jc w:val="both"/>
              <w:rPr>
                <w:rFonts w:ascii="Arial" w:eastAsia="Calibri" w:hAnsi="Arial" w:cs="Arial"/>
                <w:b/>
                <w:color w:val="000000"/>
              </w:rPr>
            </w:pPr>
            <w:r w:rsidRPr="00FB0D32">
              <w:rPr>
                <w:rFonts w:ascii="Arial" w:eastAsia="Calibri" w:hAnsi="Arial" w:cs="Arial"/>
                <w:b/>
                <w:color w:val="000000"/>
              </w:rPr>
              <w:t>Tell us about any challenges you have faced in your efforts to meet the target</w:t>
            </w:r>
          </w:p>
        </w:tc>
      </w:tr>
      <w:tr w:rsidR="00FB0D32" w:rsidRPr="00FB0D32" w:rsidTr="00040F63">
        <w:tc>
          <w:tcPr>
            <w:tcW w:w="9214" w:type="dxa"/>
            <w:shd w:val="clear" w:color="auto" w:fill="auto"/>
          </w:tcPr>
          <w:p w:rsidR="00FB0D32" w:rsidRPr="00FB0D32" w:rsidRDefault="00FB0D32" w:rsidP="00FB0D32">
            <w:pPr>
              <w:spacing w:after="0" w:line="240" w:lineRule="auto"/>
              <w:jc w:val="both"/>
              <w:rPr>
                <w:rFonts w:ascii="Arial" w:eastAsia="Calibri" w:hAnsi="Arial" w:cs="Arial"/>
                <w:b/>
                <w:color w:val="000000"/>
              </w:rPr>
            </w:pPr>
          </w:p>
          <w:p w:rsidR="00FB0D32" w:rsidRPr="00FB0D32" w:rsidRDefault="00FB0D32" w:rsidP="00FB0D32">
            <w:pPr>
              <w:spacing w:after="0" w:line="240" w:lineRule="auto"/>
              <w:jc w:val="both"/>
              <w:rPr>
                <w:rFonts w:ascii="Arial" w:eastAsia="Calibri" w:hAnsi="Arial" w:cs="Arial"/>
                <w:color w:val="000000"/>
              </w:rPr>
            </w:pPr>
            <w:r w:rsidRPr="00FB0D32">
              <w:rPr>
                <w:rFonts w:ascii="Arial" w:eastAsia="Calibri" w:hAnsi="Arial" w:cs="Arial"/>
                <w:color w:val="000000"/>
              </w:rPr>
              <w:t>We did not achieve what we set out to in this period as our focus understandably shifted to supporting residents in our community during the pandemic.</w:t>
            </w:r>
          </w:p>
          <w:p w:rsidR="00FB0D32" w:rsidRPr="00FB0D32" w:rsidRDefault="00FB0D32" w:rsidP="00FB0D32">
            <w:pPr>
              <w:spacing w:after="0" w:line="240" w:lineRule="auto"/>
              <w:jc w:val="both"/>
              <w:rPr>
                <w:rFonts w:ascii="Arial" w:eastAsia="Calibri" w:hAnsi="Arial" w:cs="Arial"/>
                <w:color w:val="000000"/>
              </w:rPr>
            </w:pPr>
          </w:p>
          <w:p w:rsidR="00FB0D32" w:rsidRPr="00FB0D32" w:rsidRDefault="00FB0D32" w:rsidP="00FB0D32">
            <w:pPr>
              <w:spacing w:after="0" w:line="240" w:lineRule="auto"/>
              <w:jc w:val="both"/>
              <w:rPr>
                <w:rFonts w:ascii="Arial" w:eastAsia="Calibri" w:hAnsi="Arial" w:cs="Arial"/>
                <w:color w:val="000000"/>
              </w:rPr>
            </w:pPr>
            <w:r w:rsidRPr="00FB0D32">
              <w:rPr>
                <w:rFonts w:ascii="Arial" w:eastAsia="Calibri" w:hAnsi="Arial" w:cs="Arial"/>
                <w:color w:val="000000"/>
              </w:rPr>
              <w:t>With the majority of the organisation working from home throughout the 3 lockdown periods it was also challenging during 2021 to set up a model to support and mentor apprentices remotely.</w:t>
            </w:r>
          </w:p>
          <w:p w:rsidR="00FB0D32" w:rsidRPr="00FB0D32" w:rsidRDefault="00FB0D32" w:rsidP="00FB0D32">
            <w:pPr>
              <w:spacing w:after="0" w:line="240" w:lineRule="auto"/>
              <w:jc w:val="both"/>
              <w:rPr>
                <w:rFonts w:ascii="Arial" w:eastAsia="Calibri" w:hAnsi="Arial" w:cs="Arial"/>
              </w:rPr>
            </w:pPr>
          </w:p>
          <w:p w:rsidR="00FB0D32" w:rsidRPr="00FB0D32" w:rsidRDefault="00FB0D32" w:rsidP="00FB0D32">
            <w:pPr>
              <w:spacing w:after="0" w:line="240" w:lineRule="auto"/>
              <w:jc w:val="both"/>
              <w:rPr>
                <w:rFonts w:ascii="Arial" w:eastAsia="Calibri" w:hAnsi="Arial" w:cs="Arial"/>
                <w:b/>
                <w:color w:val="000000"/>
              </w:rPr>
            </w:pPr>
          </w:p>
        </w:tc>
      </w:tr>
      <w:tr w:rsidR="00FB0D32" w:rsidRPr="00FB0D32" w:rsidTr="00040F63">
        <w:tc>
          <w:tcPr>
            <w:tcW w:w="9214" w:type="dxa"/>
            <w:shd w:val="clear" w:color="auto" w:fill="auto"/>
          </w:tcPr>
          <w:p w:rsidR="00FB0D32" w:rsidRPr="00FB0D32" w:rsidRDefault="00FB0D32" w:rsidP="00FB0D32">
            <w:pPr>
              <w:spacing w:after="0" w:line="240" w:lineRule="auto"/>
              <w:jc w:val="both"/>
              <w:rPr>
                <w:rFonts w:ascii="Arial" w:eastAsia="Calibri" w:hAnsi="Arial" w:cs="Arial"/>
                <w:b/>
                <w:color w:val="000000"/>
              </w:rPr>
            </w:pPr>
            <w:r w:rsidRPr="00FB0D32">
              <w:rPr>
                <w:rFonts w:ascii="Arial" w:eastAsia="Calibri" w:hAnsi="Arial" w:cs="Arial"/>
                <w:b/>
                <w:color w:val="000000"/>
              </w:rPr>
              <w:t>How are you planning to ensure you meet the target in future</w:t>
            </w:r>
          </w:p>
        </w:tc>
      </w:tr>
      <w:tr w:rsidR="00FB0D32" w:rsidRPr="00FB0D32" w:rsidTr="00040F63">
        <w:tc>
          <w:tcPr>
            <w:tcW w:w="9214" w:type="dxa"/>
            <w:shd w:val="clear" w:color="auto" w:fill="auto"/>
          </w:tcPr>
          <w:p w:rsidR="00FB0D32" w:rsidRPr="00FB0D32" w:rsidRDefault="00FB0D32" w:rsidP="00FB0D32">
            <w:pPr>
              <w:spacing w:after="0" w:line="240" w:lineRule="auto"/>
              <w:jc w:val="both"/>
              <w:rPr>
                <w:rFonts w:ascii="Arial" w:eastAsia="Calibri" w:hAnsi="Arial" w:cs="Arial"/>
                <w:color w:val="000000"/>
              </w:rPr>
            </w:pPr>
          </w:p>
          <w:p w:rsidR="00FB0D32" w:rsidRPr="00FB0D32" w:rsidRDefault="00FB0D32" w:rsidP="00FB0D32">
            <w:pPr>
              <w:spacing w:after="0" w:line="240" w:lineRule="auto"/>
              <w:jc w:val="both"/>
              <w:rPr>
                <w:rFonts w:ascii="Arial" w:eastAsia="Calibri" w:hAnsi="Arial" w:cs="Arial"/>
              </w:rPr>
            </w:pPr>
            <w:r w:rsidRPr="00FB0D32">
              <w:rPr>
                <w:rFonts w:ascii="Arial" w:eastAsia="Calibri" w:hAnsi="Arial" w:cs="Arial"/>
              </w:rPr>
              <w:t xml:space="preserve">We are pleased that since April 2022 we have started a total of 7 apprenticeship starts.  4 of these are new employees on graduate level apprenticeship schemes within our planning and finance services. We have a module agreed to recruit to these on a 3 year rolling programme.  1 apprenticeship in our Port Health service, 1 in our Housing service and one we have transferred over from another authority. </w:t>
            </w:r>
          </w:p>
          <w:p w:rsidR="00FB0D32" w:rsidRPr="00FB0D32" w:rsidRDefault="00FB0D32" w:rsidP="00FB0D32">
            <w:pPr>
              <w:spacing w:after="0" w:line="240" w:lineRule="auto"/>
              <w:jc w:val="both"/>
              <w:rPr>
                <w:rFonts w:ascii="Arial" w:eastAsia="Calibri" w:hAnsi="Arial" w:cs="Arial"/>
                <w:b/>
                <w:color w:val="000000"/>
              </w:rPr>
            </w:pPr>
          </w:p>
        </w:tc>
      </w:tr>
      <w:tr w:rsidR="00FB0D32" w:rsidRPr="00FB0D32" w:rsidTr="00040F63">
        <w:tc>
          <w:tcPr>
            <w:tcW w:w="9214" w:type="dxa"/>
            <w:shd w:val="clear" w:color="auto" w:fill="auto"/>
          </w:tcPr>
          <w:p w:rsidR="00FB0D32" w:rsidRPr="00FB0D32" w:rsidRDefault="00FB0D32" w:rsidP="00FB0D32">
            <w:pPr>
              <w:spacing w:after="0" w:line="240" w:lineRule="auto"/>
              <w:jc w:val="both"/>
              <w:rPr>
                <w:rFonts w:ascii="Arial" w:eastAsia="Calibri" w:hAnsi="Arial" w:cs="Arial"/>
                <w:b/>
                <w:color w:val="000000"/>
              </w:rPr>
            </w:pPr>
            <w:r w:rsidRPr="00FB0D32">
              <w:rPr>
                <w:rFonts w:ascii="Arial" w:eastAsia="Calibri" w:hAnsi="Arial" w:cs="Arial"/>
                <w:b/>
                <w:color w:val="000000"/>
              </w:rPr>
              <w:t>Do you have anything else you want to tell us (optional)</w:t>
            </w:r>
          </w:p>
          <w:p w:rsidR="00FB0D32" w:rsidRPr="00FB0D32" w:rsidRDefault="00FB0D32" w:rsidP="00FB0D32">
            <w:pPr>
              <w:spacing w:after="0" w:line="240" w:lineRule="auto"/>
              <w:jc w:val="both"/>
              <w:rPr>
                <w:rFonts w:ascii="Arial" w:eastAsia="Calibri" w:hAnsi="Arial" w:cs="Arial"/>
                <w:color w:val="000000"/>
              </w:rPr>
            </w:pPr>
          </w:p>
          <w:p w:rsidR="00FB0D32" w:rsidRPr="00FB0D32" w:rsidRDefault="00FB0D32" w:rsidP="00FB0D32">
            <w:pPr>
              <w:spacing w:after="0" w:line="240" w:lineRule="auto"/>
              <w:jc w:val="both"/>
              <w:rPr>
                <w:rFonts w:ascii="Arial" w:eastAsia="Calibri" w:hAnsi="Arial" w:cs="Arial"/>
                <w:color w:val="000000"/>
              </w:rPr>
            </w:pPr>
            <w:r w:rsidRPr="00FB0D32">
              <w:rPr>
                <w:rFonts w:ascii="Arial" w:eastAsia="Calibri" w:hAnsi="Arial" w:cs="Arial"/>
                <w:color w:val="000000"/>
              </w:rPr>
              <w:t xml:space="preserve">To make apprenticeships accessible to all we introduced an Apprenticeship Wage Allowance in 2015. </w:t>
            </w:r>
          </w:p>
          <w:p w:rsidR="00FB0D32" w:rsidRPr="00FB0D32" w:rsidRDefault="00FB0D32" w:rsidP="00FB0D32">
            <w:pPr>
              <w:spacing w:before="100" w:beforeAutospacing="1" w:after="100" w:afterAutospacing="1" w:line="240" w:lineRule="auto"/>
              <w:rPr>
                <w:rFonts w:ascii="Arial" w:eastAsia="Calibri" w:hAnsi="Arial" w:cs="Arial"/>
                <w:color w:val="000000"/>
              </w:rPr>
            </w:pPr>
            <w:r w:rsidRPr="00FB0D32">
              <w:rPr>
                <w:rFonts w:ascii="Arial" w:eastAsia="Calibri" w:hAnsi="Arial" w:cs="Arial"/>
                <w:color w:val="000000"/>
              </w:rPr>
              <w:t>The Apprenticeship Wage Allowance is greater than the statutory Apprentice Wage rate.  Currently we pay apprentices the age appropriate to the National Minimum Wage plus 0.20 pence per hour which is a higher rate than the statutory Apprenticeship rate of pay. This has included an increase of our contribution, of 0.5 pence per hour in last year’s wage.</w:t>
            </w:r>
          </w:p>
        </w:tc>
      </w:tr>
    </w:tbl>
    <w:p w:rsidR="00460DCD" w:rsidRDefault="00460DCD"/>
    <w:sectPr w:rsidR="00460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D32"/>
    <w:rsid w:val="00460DCD"/>
    <w:rsid w:val="00FB0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8638"/>
  <w15:chartTrackingRefBased/>
  <w15:docId w15:val="{8E67AECA-49CE-4E7D-9AA9-11156C51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Janson</dc:creator>
  <cp:keywords/>
  <dc:description/>
  <cp:lastModifiedBy>Judy Janson</cp:lastModifiedBy>
  <cp:revision>1</cp:revision>
  <dcterms:created xsi:type="dcterms:W3CDTF">2023-07-07T12:10:00Z</dcterms:created>
  <dcterms:modified xsi:type="dcterms:W3CDTF">2023-07-07T12:15:00Z</dcterms:modified>
</cp:coreProperties>
</file>