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121" w:rsidRPr="002C2121" w:rsidRDefault="002C2121" w:rsidP="002C2121">
      <w:pPr>
        <w:spacing w:after="0" w:line="240" w:lineRule="auto"/>
        <w:jc w:val="both"/>
        <w:rPr>
          <w:rFonts w:ascii="Arial" w:eastAsia="Times New Roman" w:hAnsi="Arial" w:cs="Arial"/>
          <w:b/>
          <w:sz w:val="24"/>
          <w:szCs w:val="24"/>
        </w:rPr>
      </w:pPr>
      <w:bookmarkStart w:id="0" w:name="_GoBack"/>
      <w:r w:rsidRPr="002C2121">
        <w:rPr>
          <w:rFonts w:ascii="Arial" w:eastAsia="Times New Roman" w:hAnsi="Arial" w:cs="Arial"/>
          <w:b/>
          <w:sz w:val="24"/>
          <w:szCs w:val="24"/>
        </w:rPr>
        <w:t xml:space="preserve">Public Sector Apprenticeship Target Annual Return </w:t>
      </w:r>
      <w:bookmarkEnd w:id="0"/>
      <w:r w:rsidRPr="002C2121">
        <w:rPr>
          <w:rFonts w:ascii="Arial" w:eastAsia="Times New Roman" w:hAnsi="Arial" w:cs="Arial"/>
          <w:b/>
          <w:sz w:val="24"/>
          <w:szCs w:val="24"/>
        </w:rPr>
        <w:t xml:space="preserve">- Ashford Borough Council </w:t>
      </w:r>
    </w:p>
    <w:p w:rsidR="002C2121" w:rsidRPr="002C2121" w:rsidRDefault="002C2121" w:rsidP="002C2121">
      <w:pPr>
        <w:spacing w:after="0" w:line="240" w:lineRule="auto"/>
        <w:jc w:val="both"/>
        <w:rPr>
          <w:rFonts w:ascii="Arial" w:eastAsia="Times New Roman" w:hAnsi="Arial" w:cs="Arial"/>
          <w:b/>
          <w:sz w:val="24"/>
          <w:szCs w:val="24"/>
        </w:rPr>
      </w:pPr>
    </w:p>
    <w:p w:rsidR="002C2121" w:rsidRPr="002C2121" w:rsidRDefault="002C2121" w:rsidP="002C2121">
      <w:pPr>
        <w:spacing w:after="0" w:line="240" w:lineRule="auto"/>
        <w:jc w:val="both"/>
        <w:rPr>
          <w:rFonts w:ascii="Arial" w:eastAsia="Times New Roman" w:hAnsi="Arial" w:cs="Arial"/>
          <w:b/>
          <w:sz w:val="24"/>
          <w:szCs w:val="24"/>
        </w:rPr>
      </w:pPr>
      <w:r w:rsidRPr="002C2121">
        <w:rPr>
          <w:rFonts w:ascii="Arial" w:eastAsia="Times New Roman" w:hAnsi="Arial" w:cs="Arial"/>
          <w:b/>
          <w:sz w:val="24"/>
          <w:szCs w:val="24"/>
        </w:rPr>
        <w:t>1 April 2019 – 31 March 2020</w:t>
      </w:r>
    </w:p>
    <w:p w:rsidR="002C2121" w:rsidRPr="002C2121" w:rsidRDefault="002C2121" w:rsidP="002C2121">
      <w:pPr>
        <w:spacing w:after="0" w:line="240" w:lineRule="auto"/>
        <w:jc w:val="both"/>
        <w:rPr>
          <w:rFonts w:ascii="Arial" w:eastAsia="Times New Roman" w:hAnsi="Arial" w:cs="Arial"/>
          <w:b/>
          <w:sz w:val="24"/>
          <w:szCs w:val="24"/>
        </w:rPr>
      </w:pPr>
    </w:p>
    <w:p w:rsidR="002C2121" w:rsidRPr="002C2121" w:rsidRDefault="002C2121" w:rsidP="002C2121">
      <w:pPr>
        <w:spacing w:after="0" w:line="240" w:lineRule="auto"/>
        <w:jc w:val="both"/>
        <w:rPr>
          <w:rFonts w:ascii="Arial" w:eastAsia="Times New Roman" w:hAnsi="Arial" w:cs="Arial"/>
          <w:b/>
          <w:sz w:val="24"/>
          <w:szCs w:val="24"/>
        </w:rPr>
      </w:pPr>
      <w:r w:rsidRPr="002C2121">
        <w:rPr>
          <w:rFonts w:ascii="Arial" w:eastAsia="Times New Roman" w:hAnsi="Arial" w:cs="Arial"/>
          <w:b/>
          <w:sz w:val="24"/>
          <w:szCs w:val="24"/>
        </w:rPr>
        <w:t>Section 1 – Data Publication</w:t>
      </w:r>
    </w:p>
    <w:p w:rsidR="002C2121" w:rsidRPr="002C2121" w:rsidRDefault="002C2121" w:rsidP="002C2121">
      <w:pPr>
        <w:spacing w:after="0" w:line="240" w:lineRule="auto"/>
        <w:jc w:val="both"/>
        <w:rPr>
          <w:rFonts w:ascii="Arial" w:eastAsia="Times New Roman" w:hAnsi="Arial" w:cs="Arial"/>
          <w:b/>
          <w:sz w:val="24"/>
          <w:szCs w:val="24"/>
        </w:rPr>
      </w:pPr>
    </w:p>
    <w:p w:rsidR="002C2121" w:rsidRPr="002C2121" w:rsidRDefault="002C2121" w:rsidP="002C2121">
      <w:pPr>
        <w:suppressAutoHyphens/>
        <w:spacing w:after="0" w:line="240" w:lineRule="auto"/>
        <w:contextualSpacing/>
        <w:jc w:val="both"/>
        <w:rPr>
          <w:rFonts w:ascii="Arial" w:eastAsia="SimSun" w:hAnsi="Arial" w:cs="Arial"/>
          <w:b/>
          <w:kern w:val="1"/>
          <w:lang w:eastAsia="ar-SA"/>
        </w:rPr>
      </w:pPr>
      <w:r w:rsidRPr="002C2121">
        <w:rPr>
          <w:rFonts w:ascii="Arial" w:eastAsia="SimSun" w:hAnsi="Arial" w:cs="Arial"/>
          <w:kern w:val="1"/>
          <w:lang w:eastAsia="ar-SA"/>
        </w:rPr>
        <w:t xml:space="preserve">The Public Sector Apprenticeship Targets Regulations 2017 require public sector bodies (including local authorities), who employ more than 250 employees, to </w:t>
      </w:r>
      <w:r w:rsidRPr="002C2121">
        <w:rPr>
          <w:rFonts w:ascii="Arial" w:eastAsia="SimSun" w:hAnsi="Arial" w:cs="Arial"/>
          <w:b/>
          <w:kern w:val="1"/>
          <w:lang w:eastAsia="ar-SA"/>
        </w:rPr>
        <w:t>employ an average of at least 2.3% of their staff as new apprentice starts</w:t>
      </w:r>
      <w:r w:rsidRPr="002C2121">
        <w:rPr>
          <w:rFonts w:ascii="Arial" w:eastAsia="SimSun" w:hAnsi="Arial" w:cs="Arial"/>
          <w:kern w:val="1"/>
          <w:lang w:eastAsia="ar-SA"/>
        </w:rPr>
        <w:t xml:space="preserve"> over the period </w:t>
      </w:r>
      <w:r w:rsidRPr="002C2121">
        <w:rPr>
          <w:rFonts w:ascii="Arial" w:eastAsia="SimSun" w:hAnsi="Arial" w:cs="Arial"/>
          <w:b/>
          <w:kern w:val="1"/>
          <w:lang w:eastAsia="ar-SA"/>
        </w:rPr>
        <w:t>1 April 2017 to 31 March 2021.</w:t>
      </w:r>
    </w:p>
    <w:p w:rsidR="002C2121" w:rsidRPr="002C2121" w:rsidRDefault="002C2121" w:rsidP="002C2121">
      <w:pPr>
        <w:suppressAutoHyphens/>
        <w:spacing w:after="0" w:line="240" w:lineRule="auto"/>
        <w:contextualSpacing/>
        <w:jc w:val="both"/>
        <w:rPr>
          <w:rFonts w:ascii="Arial" w:eastAsia="SimSun" w:hAnsi="Arial" w:cs="Arial"/>
          <w:color w:val="70AD47"/>
          <w:kern w:val="1"/>
          <w:lang w:eastAsia="ar-SA"/>
        </w:rPr>
      </w:pPr>
    </w:p>
    <w:p w:rsidR="002C2121" w:rsidRPr="002C2121" w:rsidRDefault="002C2121" w:rsidP="002C2121">
      <w:pPr>
        <w:suppressAutoHyphens/>
        <w:spacing w:after="0" w:line="240" w:lineRule="auto"/>
        <w:contextualSpacing/>
        <w:jc w:val="both"/>
        <w:rPr>
          <w:rFonts w:ascii="Arial" w:eastAsia="SimSun" w:hAnsi="Arial" w:cs="Arial"/>
          <w:kern w:val="1"/>
          <w:lang w:eastAsia="ar-SA"/>
        </w:rPr>
      </w:pPr>
      <w:r w:rsidRPr="002C2121">
        <w:rPr>
          <w:rFonts w:ascii="Arial" w:eastAsia="SimSun" w:hAnsi="Arial" w:cs="Arial"/>
          <w:kern w:val="1"/>
          <w:lang w:eastAsia="ar-SA"/>
        </w:rPr>
        <w:t xml:space="preserve">Although the target period is 1 April 2017 to 31 March 2021, public bodies must report their progress in meeting the target.  The target period is divided into four reporting periods lasting a year each.  </w:t>
      </w:r>
    </w:p>
    <w:p w:rsidR="002C2121" w:rsidRPr="002C2121" w:rsidRDefault="002C2121" w:rsidP="002C2121">
      <w:pPr>
        <w:spacing w:after="0" w:line="240" w:lineRule="auto"/>
        <w:jc w:val="both"/>
        <w:rPr>
          <w:rFonts w:ascii="Arial" w:eastAsia="Times New Roman" w:hAnsi="Arial" w:cs="Arial"/>
          <w:b/>
          <w:sz w:val="24"/>
          <w:szCs w:val="24"/>
        </w:rPr>
      </w:pPr>
    </w:p>
    <w:p w:rsidR="002C2121" w:rsidRPr="002C2121" w:rsidRDefault="002C2121" w:rsidP="002C2121">
      <w:pPr>
        <w:spacing w:after="0" w:line="240" w:lineRule="auto"/>
        <w:jc w:val="both"/>
        <w:rPr>
          <w:rFonts w:ascii="Arial" w:eastAsia="Times New Roman" w:hAnsi="Arial" w:cs="Arial"/>
          <w:b/>
          <w:sz w:val="24"/>
          <w:szCs w:val="24"/>
        </w:rPr>
      </w:pPr>
      <w:r w:rsidRPr="002C2121">
        <w:rPr>
          <w:rFonts w:ascii="Arial" w:eastAsia="Times New Roman" w:hAnsi="Arial" w:cs="Arial"/>
          <w:b/>
          <w:sz w:val="24"/>
          <w:szCs w:val="24"/>
        </w:rPr>
        <w:t>Ashford Borough Council is pleased to publish progress made in this reporting period.</w:t>
      </w:r>
    </w:p>
    <w:p w:rsidR="002C2121" w:rsidRPr="002C2121" w:rsidRDefault="002C2121" w:rsidP="002C2121">
      <w:pPr>
        <w:spacing w:after="0" w:line="240" w:lineRule="auto"/>
        <w:jc w:val="both"/>
        <w:rPr>
          <w:rFonts w:ascii="Arial" w:eastAsia="Times New Roman" w:hAnsi="Arial" w:cs="Arial"/>
          <w:b/>
          <w:color w:val="70AD47"/>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8"/>
        <w:gridCol w:w="1315"/>
        <w:gridCol w:w="1418"/>
      </w:tblGrid>
      <w:tr w:rsidR="002C2121" w:rsidRPr="002C2121" w:rsidTr="001D4779">
        <w:trPr>
          <w:trHeight w:val="594"/>
        </w:trPr>
        <w:tc>
          <w:tcPr>
            <w:tcW w:w="6198" w:type="dxa"/>
            <w:shd w:val="clear" w:color="auto" w:fill="auto"/>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Data Period</w:t>
            </w:r>
          </w:p>
          <w:p w:rsidR="002C2121" w:rsidRPr="002C2121" w:rsidRDefault="002C2121" w:rsidP="002C2121">
            <w:pPr>
              <w:spacing w:after="0" w:line="240" w:lineRule="auto"/>
              <w:jc w:val="both"/>
              <w:rPr>
                <w:rFonts w:ascii="Arial" w:eastAsia="Calibri" w:hAnsi="Arial" w:cs="Arial"/>
                <w:b/>
              </w:rPr>
            </w:pPr>
          </w:p>
        </w:tc>
        <w:tc>
          <w:tcPr>
            <w:tcW w:w="2733" w:type="dxa"/>
            <w:gridSpan w:val="2"/>
            <w:shd w:val="clear" w:color="auto" w:fill="auto"/>
          </w:tcPr>
          <w:p w:rsidR="002C2121" w:rsidRPr="002C2121" w:rsidRDefault="002C2121" w:rsidP="002C2121">
            <w:pPr>
              <w:spacing w:after="0" w:line="240" w:lineRule="auto"/>
              <w:jc w:val="both"/>
              <w:rPr>
                <w:rFonts w:ascii="Arial" w:eastAsia="Calibri" w:hAnsi="Arial" w:cs="Arial"/>
                <w:color w:val="000000"/>
                <w:lang w:eastAsia="en-GB"/>
              </w:rPr>
            </w:pPr>
            <w:r w:rsidRPr="002C2121">
              <w:rPr>
                <w:rFonts w:ascii="Arial" w:eastAsia="Calibri" w:hAnsi="Arial" w:cs="Arial"/>
                <w:b/>
              </w:rPr>
              <w:t>1 April 2019 – 31 March 2020</w:t>
            </w:r>
          </w:p>
        </w:tc>
      </w:tr>
      <w:tr w:rsidR="002C2121" w:rsidRPr="002C2121" w:rsidTr="001D4779">
        <w:trPr>
          <w:trHeight w:val="594"/>
        </w:trPr>
        <w:tc>
          <w:tcPr>
            <w:tcW w:w="6198" w:type="dxa"/>
            <w:shd w:val="clear" w:color="auto" w:fill="auto"/>
          </w:tcPr>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b/>
              </w:rPr>
              <w:t xml:space="preserve">Figure A - </w:t>
            </w:r>
            <w:r w:rsidRPr="002C2121">
              <w:rPr>
                <w:rFonts w:ascii="Arial" w:eastAsia="Calibri" w:hAnsi="Arial" w:cs="Arial"/>
              </w:rPr>
              <w:t>The number of employees whose employment in England by the body (ABC) began in the reporting period in question.</w:t>
            </w:r>
          </w:p>
          <w:p w:rsidR="002C2121" w:rsidRPr="002C2121" w:rsidRDefault="002C2121" w:rsidP="002C2121">
            <w:pPr>
              <w:spacing w:after="0" w:line="240" w:lineRule="auto"/>
              <w:jc w:val="both"/>
              <w:rPr>
                <w:rFonts w:ascii="Arial" w:eastAsia="Calibri" w:hAnsi="Arial" w:cs="Arial"/>
              </w:rPr>
            </w:pPr>
          </w:p>
        </w:tc>
        <w:tc>
          <w:tcPr>
            <w:tcW w:w="1315" w:type="dxa"/>
            <w:shd w:val="clear" w:color="auto" w:fill="auto"/>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65</w:t>
            </w:r>
            <w:r w:rsidRPr="002C2121">
              <w:rPr>
                <w:rFonts w:ascii="Arial" w:eastAsia="Calibri" w:hAnsi="Arial" w:cs="Arial"/>
              </w:rPr>
              <w:t xml:space="preserve"> </w:t>
            </w:r>
          </w:p>
        </w:tc>
        <w:tc>
          <w:tcPr>
            <w:tcW w:w="1418" w:type="dxa"/>
            <w:shd w:val="clear" w:color="auto" w:fill="auto"/>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rPr>
              <w:t xml:space="preserve">59.05FTE </w:t>
            </w:r>
          </w:p>
        </w:tc>
      </w:tr>
      <w:tr w:rsidR="002C2121" w:rsidRPr="002C2121" w:rsidTr="001D4779">
        <w:tc>
          <w:tcPr>
            <w:tcW w:w="6198" w:type="dxa"/>
            <w:shd w:val="clear" w:color="auto" w:fill="auto"/>
          </w:tcPr>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b/>
              </w:rPr>
              <w:t xml:space="preserve">Figure B - </w:t>
            </w:r>
            <w:r w:rsidRPr="002C2121">
              <w:rPr>
                <w:rFonts w:ascii="Arial" w:eastAsia="Calibri" w:hAnsi="Arial" w:cs="Arial"/>
              </w:rPr>
              <w:t xml:space="preserve">The number of apprentices who began to work for the body in that period and *whose apprenticeship agreements </w:t>
            </w:r>
            <w:r w:rsidRPr="002C2121">
              <w:rPr>
                <w:rFonts w:ascii="Arial" w:eastAsia="Calibri" w:hAnsi="Arial" w:cs="Arial"/>
                <w:u w:val="single"/>
              </w:rPr>
              <w:t>also</w:t>
            </w:r>
            <w:r w:rsidRPr="002C2121">
              <w:rPr>
                <w:rFonts w:ascii="Arial" w:eastAsia="Calibri" w:hAnsi="Arial" w:cs="Arial"/>
              </w:rPr>
              <w:t xml:space="preserve"> began in that period. </w:t>
            </w:r>
          </w:p>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rPr>
              <w:t xml:space="preserve">*this incudes employees who were already working for the body (ABC) before beginning their apprenticeship, as well as new apprentice hires. </w:t>
            </w:r>
          </w:p>
        </w:tc>
        <w:tc>
          <w:tcPr>
            <w:tcW w:w="1315" w:type="dxa"/>
            <w:shd w:val="clear" w:color="auto" w:fill="auto"/>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 xml:space="preserve">5 </w:t>
            </w:r>
            <w:r w:rsidRPr="002C2121">
              <w:rPr>
                <w:rFonts w:ascii="Arial" w:eastAsia="Calibri" w:hAnsi="Arial" w:cs="Arial"/>
              </w:rPr>
              <w:t xml:space="preserve"> </w:t>
            </w:r>
          </w:p>
          <w:p w:rsidR="002C2121" w:rsidRPr="002C2121" w:rsidRDefault="002C2121" w:rsidP="002C2121">
            <w:pPr>
              <w:spacing w:after="0" w:line="240" w:lineRule="auto"/>
              <w:jc w:val="both"/>
              <w:rPr>
                <w:rFonts w:ascii="Arial" w:eastAsia="Calibri" w:hAnsi="Arial" w:cs="Arial"/>
                <w:b/>
              </w:rPr>
            </w:pPr>
          </w:p>
          <w:p w:rsidR="002C2121" w:rsidRPr="002C2121" w:rsidRDefault="002C2121" w:rsidP="002C2121">
            <w:pPr>
              <w:spacing w:after="0" w:line="240" w:lineRule="auto"/>
              <w:jc w:val="both"/>
              <w:rPr>
                <w:rFonts w:ascii="Arial" w:eastAsia="Calibri" w:hAnsi="Arial" w:cs="Arial"/>
                <w:b/>
              </w:rPr>
            </w:pPr>
          </w:p>
        </w:tc>
        <w:tc>
          <w:tcPr>
            <w:tcW w:w="1418" w:type="dxa"/>
            <w:shd w:val="clear" w:color="auto" w:fill="auto"/>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4.37</w:t>
            </w:r>
          </w:p>
          <w:p w:rsidR="002C2121" w:rsidRPr="002C2121" w:rsidRDefault="002C2121" w:rsidP="002C2121">
            <w:pPr>
              <w:spacing w:after="0" w:line="240" w:lineRule="auto"/>
              <w:jc w:val="both"/>
              <w:rPr>
                <w:rFonts w:ascii="Arial" w:eastAsia="Calibri" w:hAnsi="Arial" w:cs="Arial"/>
                <w:b/>
              </w:rPr>
            </w:pPr>
          </w:p>
        </w:tc>
      </w:tr>
      <w:tr w:rsidR="002C2121" w:rsidRPr="002C2121" w:rsidTr="001D4779">
        <w:tc>
          <w:tcPr>
            <w:tcW w:w="6198" w:type="dxa"/>
            <w:shd w:val="clear" w:color="auto" w:fill="auto"/>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 xml:space="preserve">Figure C - </w:t>
            </w:r>
            <w:r w:rsidRPr="002C2121">
              <w:rPr>
                <w:rFonts w:ascii="Arial" w:eastAsia="Calibri" w:hAnsi="Arial" w:cs="Arial"/>
              </w:rPr>
              <w:t xml:space="preserve">The number of employees employed in England that the body has at the end of that period </w:t>
            </w:r>
            <w:r w:rsidRPr="002C2121">
              <w:rPr>
                <w:rFonts w:ascii="Arial" w:eastAsia="Calibri" w:hAnsi="Arial" w:cs="Arial"/>
                <w:b/>
              </w:rPr>
              <w:t>31.03.2020.</w:t>
            </w:r>
          </w:p>
          <w:p w:rsidR="002C2121" w:rsidRPr="002C2121" w:rsidRDefault="002C2121" w:rsidP="002C2121">
            <w:pPr>
              <w:spacing w:after="0" w:line="240" w:lineRule="auto"/>
              <w:jc w:val="both"/>
              <w:rPr>
                <w:rFonts w:ascii="Arial" w:eastAsia="Calibri" w:hAnsi="Arial" w:cs="Arial"/>
              </w:rPr>
            </w:pPr>
          </w:p>
        </w:tc>
        <w:tc>
          <w:tcPr>
            <w:tcW w:w="1315" w:type="dxa"/>
            <w:shd w:val="clear" w:color="auto" w:fill="auto"/>
          </w:tcPr>
          <w:p w:rsidR="002C2121" w:rsidRPr="002C2121" w:rsidRDefault="002C2121" w:rsidP="002C2121">
            <w:pPr>
              <w:spacing w:after="0" w:line="240" w:lineRule="auto"/>
              <w:jc w:val="both"/>
              <w:rPr>
                <w:rFonts w:ascii="Arial" w:eastAsia="Calibri" w:hAnsi="Arial" w:cs="Arial"/>
              </w:rPr>
            </w:pPr>
          </w:p>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rPr>
              <w:t>481</w:t>
            </w:r>
          </w:p>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rPr>
              <w:tab/>
            </w:r>
          </w:p>
        </w:tc>
        <w:tc>
          <w:tcPr>
            <w:tcW w:w="1418" w:type="dxa"/>
            <w:shd w:val="clear" w:color="auto" w:fill="auto"/>
          </w:tcPr>
          <w:p w:rsidR="002C2121" w:rsidRPr="002C2121" w:rsidRDefault="002C2121" w:rsidP="002C2121">
            <w:pPr>
              <w:spacing w:after="0" w:line="240" w:lineRule="auto"/>
              <w:jc w:val="both"/>
              <w:rPr>
                <w:rFonts w:ascii="Arial" w:eastAsia="Calibri" w:hAnsi="Arial" w:cs="Arial"/>
                <w:b/>
              </w:rPr>
            </w:pPr>
            <w:r w:rsidRPr="002C2121">
              <w:rPr>
                <w:rFonts w:ascii="Arial" w:eastAsia="Times New Roman" w:hAnsi="Arial" w:cs="Arial"/>
              </w:rPr>
              <w:t>431.51 FTE</w:t>
            </w:r>
          </w:p>
        </w:tc>
      </w:tr>
      <w:tr w:rsidR="002C2121" w:rsidRPr="002C2121" w:rsidTr="001D4779">
        <w:trPr>
          <w:trHeight w:val="565"/>
        </w:trPr>
        <w:tc>
          <w:tcPr>
            <w:tcW w:w="6198" w:type="dxa"/>
            <w:shd w:val="clear" w:color="auto" w:fill="auto"/>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 xml:space="preserve">Figure D - </w:t>
            </w:r>
            <w:r w:rsidRPr="002C2121">
              <w:rPr>
                <w:rFonts w:ascii="Arial" w:eastAsia="Calibri" w:hAnsi="Arial" w:cs="Arial"/>
              </w:rPr>
              <w:t xml:space="preserve">The number of apprentices who work for the body at the end of that period. </w:t>
            </w:r>
            <w:r w:rsidRPr="002C2121">
              <w:rPr>
                <w:rFonts w:ascii="Arial" w:eastAsia="Calibri" w:hAnsi="Arial" w:cs="Arial"/>
                <w:b/>
              </w:rPr>
              <w:t>31.03.20.</w:t>
            </w:r>
          </w:p>
          <w:p w:rsidR="002C2121" w:rsidRPr="002C2121" w:rsidRDefault="002C2121" w:rsidP="002C2121">
            <w:pPr>
              <w:spacing w:after="0" w:line="240" w:lineRule="auto"/>
              <w:jc w:val="both"/>
              <w:rPr>
                <w:rFonts w:ascii="Arial" w:eastAsia="Calibri" w:hAnsi="Arial" w:cs="Arial"/>
              </w:rPr>
            </w:pPr>
          </w:p>
        </w:tc>
        <w:tc>
          <w:tcPr>
            <w:tcW w:w="1315" w:type="dxa"/>
            <w:shd w:val="clear" w:color="auto" w:fill="auto"/>
          </w:tcPr>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rPr>
              <w:t xml:space="preserve">15 </w:t>
            </w:r>
          </w:p>
        </w:tc>
        <w:tc>
          <w:tcPr>
            <w:tcW w:w="1418" w:type="dxa"/>
            <w:shd w:val="clear" w:color="auto" w:fill="auto"/>
          </w:tcPr>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rPr>
              <w:t xml:space="preserve">13.12 FTE </w:t>
            </w:r>
          </w:p>
          <w:p w:rsidR="002C2121" w:rsidRPr="002C2121" w:rsidRDefault="002C2121" w:rsidP="002C2121">
            <w:pPr>
              <w:spacing w:after="0" w:line="240" w:lineRule="auto"/>
              <w:jc w:val="both"/>
              <w:rPr>
                <w:rFonts w:ascii="Arial" w:eastAsia="Calibri" w:hAnsi="Arial" w:cs="Arial"/>
              </w:rPr>
            </w:pPr>
          </w:p>
        </w:tc>
      </w:tr>
      <w:tr w:rsidR="002C2121" w:rsidRPr="002C2121" w:rsidTr="001D4779">
        <w:tc>
          <w:tcPr>
            <w:tcW w:w="6198" w:type="dxa"/>
            <w:shd w:val="clear" w:color="auto" w:fill="auto"/>
          </w:tcPr>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b/>
              </w:rPr>
              <w:t xml:space="preserve">Figure E - </w:t>
            </w:r>
            <w:r w:rsidRPr="002C2121">
              <w:rPr>
                <w:rFonts w:ascii="Arial" w:eastAsia="Calibri" w:hAnsi="Arial" w:cs="Arial"/>
              </w:rPr>
              <w:t>Figure B expressed as a percentage of Figure A</w:t>
            </w:r>
          </w:p>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B/A x 100</w:t>
            </w:r>
          </w:p>
          <w:p w:rsidR="002C2121" w:rsidRPr="002C2121" w:rsidRDefault="002C2121" w:rsidP="002C2121">
            <w:pPr>
              <w:spacing w:after="0" w:line="240" w:lineRule="auto"/>
              <w:jc w:val="both"/>
              <w:rPr>
                <w:rFonts w:ascii="Arial" w:eastAsia="Calibri" w:hAnsi="Arial" w:cs="Arial"/>
              </w:rPr>
            </w:pPr>
          </w:p>
        </w:tc>
        <w:tc>
          <w:tcPr>
            <w:tcW w:w="1315" w:type="dxa"/>
            <w:shd w:val="clear" w:color="auto" w:fill="DBDBDB"/>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 xml:space="preserve">7.69 % </w:t>
            </w:r>
          </w:p>
          <w:p w:rsidR="002C2121" w:rsidRPr="002C2121" w:rsidRDefault="002C2121" w:rsidP="002C2121">
            <w:pPr>
              <w:spacing w:after="0" w:line="240" w:lineRule="auto"/>
              <w:jc w:val="both"/>
              <w:rPr>
                <w:rFonts w:ascii="Arial" w:eastAsia="Calibri" w:hAnsi="Arial" w:cs="Arial"/>
                <w:b/>
              </w:rPr>
            </w:pPr>
          </w:p>
        </w:tc>
        <w:tc>
          <w:tcPr>
            <w:tcW w:w="1418" w:type="dxa"/>
            <w:shd w:val="clear" w:color="auto" w:fill="DBDBDB"/>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7.27 FTE</w:t>
            </w:r>
          </w:p>
        </w:tc>
      </w:tr>
      <w:tr w:rsidR="002C2121" w:rsidRPr="002C2121" w:rsidTr="001D4779">
        <w:tc>
          <w:tcPr>
            <w:tcW w:w="6198" w:type="dxa"/>
            <w:shd w:val="clear" w:color="auto" w:fill="auto"/>
          </w:tcPr>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b/>
              </w:rPr>
              <w:t xml:space="preserve">Figure F - </w:t>
            </w:r>
            <w:r w:rsidRPr="002C2121">
              <w:rPr>
                <w:rFonts w:ascii="Arial" w:eastAsia="Calibri" w:hAnsi="Arial" w:cs="Arial"/>
              </w:rPr>
              <w:t>Figure D expressed as a percentage of Figure C.</w:t>
            </w:r>
          </w:p>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rPr>
              <w:t>D / C x 100</w:t>
            </w:r>
          </w:p>
          <w:p w:rsidR="002C2121" w:rsidRPr="002C2121" w:rsidRDefault="002C2121" w:rsidP="002C2121">
            <w:pPr>
              <w:spacing w:after="0" w:line="240" w:lineRule="auto"/>
              <w:jc w:val="both"/>
              <w:rPr>
                <w:rFonts w:ascii="Arial" w:eastAsia="Calibri" w:hAnsi="Arial" w:cs="Arial"/>
              </w:rPr>
            </w:pPr>
          </w:p>
        </w:tc>
        <w:tc>
          <w:tcPr>
            <w:tcW w:w="1315" w:type="dxa"/>
            <w:shd w:val="clear" w:color="auto" w:fill="DBDBDB"/>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 xml:space="preserve">3.12% </w:t>
            </w:r>
          </w:p>
        </w:tc>
        <w:tc>
          <w:tcPr>
            <w:tcW w:w="1418" w:type="dxa"/>
            <w:shd w:val="clear" w:color="auto" w:fill="DBDBDB"/>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3</w:t>
            </w:r>
          </w:p>
          <w:p w:rsidR="002C2121" w:rsidRPr="002C2121" w:rsidRDefault="002C2121" w:rsidP="002C2121">
            <w:pPr>
              <w:spacing w:after="0" w:line="240" w:lineRule="auto"/>
              <w:jc w:val="both"/>
              <w:rPr>
                <w:rFonts w:ascii="Arial" w:eastAsia="Calibri" w:hAnsi="Arial" w:cs="Arial"/>
                <w:b/>
              </w:rPr>
            </w:pPr>
          </w:p>
        </w:tc>
      </w:tr>
      <w:tr w:rsidR="002C2121" w:rsidRPr="002C2121" w:rsidTr="001D4779">
        <w:tc>
          <w:tcPr>
            <w:tcW w:w="6198" w:type="dxa"/>
            <w:shd w:val="clear" w:color="auto" w:fill="auto"/>
          </w:tcPr>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b/>
              </w:rPr>
              <w:t xml:space="preserve">Figure G - </w:t>
            </w:r>
            <w:r w:rsidRPr="002C2121">
              <w:rPr>
                <w:rFonts w:ascii="Arial" w:eastAsia="Calibri" w:hAnsi="Arial" w:cs="Arial"/>
              </w:rPr>
              <w:t>The number of apprentices who worked for the body immediately before that period (31.03.18)</w:t>
            </w:r>
          </w:p>
          <w:p w:rsidR="002C2121" w:rsidRPr="002C2121" w:rsidRDefault="002C2121" w:rsidP="002C2121">
            <w:pPr>
              <w:spacing w:after="0" w:line="240" w:lineRule="auto"/>
              <w:jc w:val="both"/>
              <w:rPr>
                <w:rFonts w:ascii="Arial" w:eastAsia="Calibri" w:hAnsi="Arial" w:cs="Arial"/>
              </w:rPr>
            </w:pPr>
          </w:p>
        </w:tc>
        <w:tc>
          <w:tcPr>
            <w:tcW w:w="1315" w:type="dxa"/>
            <w:shd w:val="clear" w:color="auto" w:fill="auto"/>
          </w:tcPr>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rPr>
              <w:t xml:space="preserve">8 </w:t>
            </w:r>
          </w:p>
        </w:tc>
        <w:tc>
          <w:tcPr>
            <w:tcW w:w="1418" w:type="dxa"/>
            <w:shd w:val="clear" w:color="auto" w:fill="auto"/>
          </w:tcPr>
          <w:p w:rsidR="002C2121" w:rsidRPr="002C2121" w:rsidRDefault="002C2121" w:rsidP="002C2121">
            <w:pPr>
              <w:spacing w:after="0" w:line="240" w:lineRule="auto"/>
              <w:jc w:val="both"/>
              <w:rPr>
                <w:rFonts w:ascii="Arial" w:eastAsia="Calibri" w:hAnsi="Arial" w:cs="Arial"/>
                <w:color w:val="000000"/>
              </w:rPr>
            </w:pPr>
            <w:r w:rsidRPr="002C2121">
              <w:rPr>
                <w:rFonts w:ascii="Arial" w:eastAsia="Calibri" w:hAnsi="Arial" w:cs="Arial"/>
                <w:color w:val="000000"/>
              </w:rPr>
              <w:t>7.57 FTE</w:t>
            </w:r>
          </w:p>
        </w:tc>
      </w:tr>
      <w:tr w:rsidR="002C2121" w:rsidRPr="002C2121" w:rsidTr="001D4779">
        <w:tc>
          <w:tcPr>
            <w:tcW w:w="6198" w:type="dxa"/>
            <w:shd w:val="clear" w:color="auto" w:fill="auto"/>
          </w:tcPr>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b/>
              </w:rPr>
              <w:t xml:space="preserve">Figure H - </w:t>
            </w:r>
            <w:r w:rsidRPr="002C2121">
              <w:rPr>
                <w:rFonts w:ascii="Arial" w:eastAsia="Calibri" w:hAnsi="Arial" w:cs="Arial"/>
              </w:rPr>
              <w:t>Headcount on the day before the first day of each reporting period. – 31.03.2018</w:t>
            </w:r>
          </w:p>
          <w:p w:rsidR="002C2121" w:rsidRPr="002C2121" w:rsidRDefault="002C2121" w:rsidP="002C2121">
            <w:pPr>
              <w:spacing w:after="0" w:line="240" w:lineRule="auto"/>
              <w:jc w:val="both"/>
              <w:rPr>
                <w:rFonts w:ascii="Arial" w:eastAsia="Calibri" w:hAnsi="Arial" w:cs="Arial"/>
              </w:rPr>
            </w:pPr>
          </w:p>
        </w:tc>
        <w:tc>
          <w:tcPr>
            <w:tcW w:w="1315" w:type="dxa"/>
            <w:shd w:val="clear" w:color="auto" w:fill="auto"/>
          </w:tcPr>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rPr>
              <w:t>465</w:t>
            </w:r>
          </w:p>
        </w:tc>
        <w:tc>
          <w:tcPr>
            <w:tcW w:w="1418" w:type="dxa"/>
            <w:shd w:val="clear" w:color="auto" w:fill="auto"/>
          </w:tcPr>
          <w:p w:rsidR="002C2121" w:rsidRPr="002C2121" w:rsidRDefault="002C2121" w:rsidP="002C2121">
            <w:pPr>
              <w:spacing w:after="0" w:line="240" w:lineRule="auto"/>
              <w:jc w:val="both"/>
              <w:rPr>
                <w:rFonts w:ascii="Arial" w:eastAsia="Calibri" w:hAnsi="Arial" w:cs="Arial"/>
                <w:color w:val="000000"/>
              </w:rPr>
            </w:pPr>
            <w:r w:rsidRPr="002C2121">
              <w:rPr>
                <w:rFonts w:ascii="Arial" w:eastAsia="Calibri" w:hAnsi="Arial" w:cs="Arial"/>
                <w:color w:val="000000"/>
              </w:rPr>
              <w:t>418.06 FTE</w:t>
            </w:r>
          </w:p>
        </w:tc>
      </w:tr>
      <w:tr w:rsidR="002C2121" w:rsidRPr="002C2121" w:rsidTr="001D4779">
        <w:tc>
          <w:tcPr>
            <w:tcW w:w="6198" w:type="dxa"/>
            <w:shd w:val="clear" w:color="auto" w:fill="auto"/>
          </w:tcPr>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b/>
              </w:rPr>
              <w:t xml:space="preserve">Figure </w:t>
            </w:r>
            <w:proofErr w:type="gramStart"/>
            <w:r w:rsidRPr="002C2121">
              <w:rPr>
                <w:rFonts w:ascii="Arial" w:eastAsia="Calibri" w:hAnsi="Arial" w:cs="Arial"/>
                <w:b/>
              </w:rPr>
              <w:t>I</w:t>
            </w:r>
            <w:proofErr w:type="gramEnd"/>
            <w:r w:rsidRPr="002C2121">
              <w:rPr>
                <w:rFonts w:ascii="Arial" w:eastAsia="Calibri" w:hAnsi="Arial" w:cs="Arial"/>
                <w:b/>
              </w:rPr>
              <w:t xml:space="preserve"> - </w:t>
            </w:r>
            <w:r w:rsidRPr="002C2121">
              <w:rPr>
                <w:rFonts w:ascii="Arial" w:eastAsia="Calibri" w:hAnsi="Arial" w:cs="Arial"/>
              </w:rPr>
              <w:t>Figure B expressed as a % of Figure H.</w:t>
            </w:r>
          </w:p>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rPr>
              <w:t>B/H x 100</w:t>
            </w:r>
          </w:p>
          <w:p w:rsidR="002C2121" w:rsidRPr="002C2121" w:rsidRDefault="002C2121" w:rsidP="002C2121">
            <w:pPr>
              <w:spacing w:after="0" w:line="240" w:lineRule="auto"/>
              <w:jc w:val="both"/>
              <w:rPr>
                <w:rFonts w:ascii="Arial" w:eastAsia="Calibri" w:hAnsi="Arial" w:cs="Arial"/>
                <w:b/>
              </w:rPr>
            </w:pPr>
          </w:p>
        </w:tc>
        <w:tc>
          <w:tcPr>
            <w:tcW w:w="1315" w:type="dxa"/>
            <w:shd w:val="clear" w:color="auto" w:fill="DBDBDB"/>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 xml:space="preserve">1.07 % </w:t>
            </w:r>
          </w:p>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465</w:t>
            </w:r>
          </w:p>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ab/>
            </w:r>
          </w:p>
        </w:tc>
        <w:tc>
          <w:tcPr>
            <w:tcW w:w="1418" w:type="dxa"/>
            <w:shd w:val="clear" w:color="auto" w:fill="DBDBDB"/>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1.01 FTE</w:t>
            </w:r>
          </w:p>
        </w:tc>
      </w:tr>
    </w:tbl>
    <w:p w:rsidR="002C2121" w:rsidRPr="002C2121" w:rsidRDefault="002C2121" w:rsidP="002C2121">
      <w:pPr>
        <w:spacing w:after="0" w:line="240" w:lineRule="auto"/>
        <w:rPr>
          <w:rFonts w:ascii="Arial" w:eastAsia="Times New Roman" w:hAnsi="Arial" w:cs="Arial"/>
          <w:b/>
          <w:sz w:val="24"/>
          <w:szCs w:val="24"/>
        </w:rPr>
      </w:pPr>
    </w:p>
    <w:p w:rsidR="002C2121" w:rsidRPr="002C2121" w:rsidRDefault="002C2121" w:rsidP="002C2121">
      <w:pPr>
        <w:spacing w:after="0" w:line="240" w:lineRule="auto"/>
        <w:jc w:val="both"/>
        <w:rPr>
          <w:rFonts w:ascii="Arial" w:eastAsia="Times New Roman" w:hAnsi="Arial" w:cs="Arial"/>
          <w:b/>
          <w:sz w:val="24"/>
          <w:szCs w:val="24"/>
        </w:rPr>
      </w:pPr>
    </w:p>
    <w:p w:rsidR="002C2121" w:rsidRPr="002C2121" w:rsidRDefault="002C2121" w:rsidP="002C2121">
      <w:pPr>
        <w:spacing w:after="0" w:line="240" w:lineRule="auto"/>
        <w:jc w:val="both"/>
        <w:rPr>
          <w:rFonts w:ascii="Arial" w:eastAsia="Times New Roman" w:hAnsi="Arial" w:cs="Arial"/>
          <w:b/>
          <w:sz w:val="24"/>
          <w:szCs w:val="24"/>
        </w:rPr>
      </w:pPr>
      <w:r w:rsidRPr="002C2121">
        <w:rPr>
          <w:rFonts w:ascii="Arial" w:eastAsia="Times New Roman" w:hAnsi="Arial" w:cs="Arial"/>
          <w:b/>
          <w:sz w:val="24"/>
          <w:szCs w:val="24"/>
        </w:rPr>
        <w:lastRenderedPageBreak/>
        <w:t xml:space="preserve">Public Sector Apprenticeship Target Annual Return - Ashford Borough Council </w:t>
      </w:r>
    </w:p>
    <w:p w:rsidR="002C2121" w:rsidRPr="002C2121" w:rsidRDefault="002C2121" w:rsidP="002C2121">
      <w:pPr>
        <w:spacing w:after="0" w:line="240" w:lineRule="auto"/>
        <w:jc w:val="both"/>
        <w:rPr>
          <w:rFonts w:ascii="Arial" w:eastAsia="Times New Roman" w:hAnsi="Arial" w:cs="Arial"/>
          <w:b/>
          <w:sz w:val="24"/>
          <w:szCs w:val="24"/>
        </w:rPr>
      </w:pPr>
    </w:p>
    <w:p w:rsidR="002C2121" w:rsidRPr="002C2121" w:rsidRDefault="002C2121" w:rsidP="002C2121">
      <w:pPr>
        <w:spacing w:after="0" w:line="240" w:lineRule="auto"/>
        <w:jc w:val="both"/>
        <w:rPr>
          <w:rFonts w:ascii="Arial" w:eastAsia="Times New Roman" w:hAnsi="Arial" w:cs="Arial"/>
          <w:b/>
          <w:sz w:val="24"/>
          <w:szCs w:val="24"/>
        </w:rPr>
      </w:pPr>
      <w:r w:rsidRPr="002C2121">
        <w:rPr>
          <w:rFonts w:ascii="Arial" w:eastAsia="Times New Roman" w:hAnsi="Arial" w:cs="Arial"/>
          <w:b/>
          <w:sz w:val="24"/>
          <w:szCs w:val="24"/>
        </w:rPr>
        <w:t>Section 2 – Apprenticeship Activity Return</w:t>
      </w:r>
      <w:r w:rsidRPr="002C2121">
        <w:rPr>
          <w:rFonts w:ascii="Arial" w:eastAsia="Times New Roman" w:hAnsi="Arial" w:cs="Arial"/>
          <w:b/>
          <w:sz w:val="24"/>
          <w:szCs w:val="24"/>
        </w:rPr>
        <w:tab/>
        <w:t>1 April 2019 – 31 March 2020</w:t>
      </w:r>
    </w:p>
    <w:p w:rsidR="002C2121" w:rsidRPr="002C2121" w:rsidRDefault="002C2121" w:rsidP="002C2121">
      <w:pPr>
        <w:spacing w:after="0" w:line="240" w:lineRule="auto"/>
        <w:jc w:val="both"/>
        <w:rPr>
          <w:rFonts w:ascii="Arial" w:eastAsia="Times New Roman" w:hAnsi="Arial" w:cs="Arial"/>
          <w:b/>
          <w:sz w:val="24"/>
          <w:szCs w:val="24"/>
        </w:rPr>
      </w:pPr>
    </w:p>
    <w:p w:rsidR="002C2121" w:rsidRPr="002C2121" w:rsidRDefault="002C2121" w:rsidP="002C2121">
      <w:pPr>
        <w:spacing w:after="0" w:line="240" w:lineRule="auto"/>
        <w:jc w:val="both"/>
        <w:rPr>
          <w:rFonts w:ascii="Arial" w:eastAsia="Times New Roman" w:hAnsi="Arial" w:cs="Arial"/>
          <w:b/>
          <w:sz w:val="24"/>
          <w:szCs w:val="24"/>
          <w:u w:val="single"/>
        </w:rPr>
      </w:pPr>
      <w:r w:rsidRPr="002C2121">
        <w:rPr>
          <w:rFonts w:ascii="Arial" w:eastAsia="Times New Roman" w:hAnsi="Arial" w:cs="Arial"/>
          <w:b/>
          <w:sz w:val="24"/>
          <w:szCs w:val="24"/>
          <w:u w:val="single"/>
        </w:rPr>
        <w:t>Factors that impacted your ability to meet the target</w:t>
      </w:r>
    </w:p>
    <w:p w:rsidR="002C2121" w:rsidRPr="002C2121" w:rsidRDefault="002C2121" w:rsidP="002C2121">
      <w:pPr>
        <w:spacing w:after="0" w:line="240" w:lineRule="auto"/>
        <w:jc w:val="both"/>
        <w:rPr>
          <w:rFonts w:ascii="Arial" w:eastAsia="Times New Roman" w:hAnsi="Arial" w:cs="Arial"/>
          <w:b/>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2C2121" w:rsidRPr="002C2121" w:rsidTr="001D4779">
        <w:tc>
          <w:tcPr>
            <w:tcW w:w="9214" w:type="dxa"/>
            <w:shd w:val="clear" w:color="auto" w:fill="auto"/>
          </w:tcPr>
          <w:p w:rsidR="002C2121" w:rsidRPr="002C2121" w:rsidRDefault="002C2121" w:rsidP="002C2121">
            <w:pPr>
              <w:spacing w:after="0" w:line="240" w:lineRule="auto"/>
              <w:jc w:val="both"/>
              <w:rPr>
                <w:rFonts w:ascii="Arial" w:eastAsia="Calibri" w:hAnsi="Arial" w:cs="Arial"/>
                <w:b/>
              </w:rPr>
            </w:pPr>
            <w:r w:rsidRPr="002C2121">
              <w:rPr>
                <w:rFonts w:ascii="Arial" w:eastAsia="Calibri" w:hAnsi="Arial" w:cs="Arial"/>
                <w:b/>
              </w:rPr>
              <w:t>Outline any actions you have taken to help you progress towards meeting the public sector target</w:t>
            </w:r>
          </w:p>
        </w:tc>
      </w:tr>
      <w:tr w:rsidR="002C2121" w:rsidRPr="002C2121" w:rsidTr="001D4779">
        <w:tc>
          <w:tcPr>
            <w:tcW w:w="9214" w:type="dxa"/>
            <w:shd w:val="clear" w:color="auto" w:fill="auto"/>
          </w:tcPr>
          <w:p w:rsidR="002C2121" w:rsidRPr="002C2121" w:rsidRDefault="002C2121" w:rsidP="002C2121">
            <w:pPr>
              <w:spacing w:after="0" w:line="240" w:lineRule="auto"/>
              <w:jc w:val="both"/>
              <w:rPr>
                <w:rFonts w:ascii="Arial" w:eastAsia="Calibri" w:hAnsi="Arial" w:cs="Arial"/>
                <w:color w:val="000000"/>
              </w:rPr>
            </w:pPr>
          </w:p>
          <w:p w:rsidR="002C2121" w:rsidRPr="002C2121" w:rsidRDefault="002C2121" w:rsidP="002C2121">
            <w:pPr>
              <w:spacing w:after="0" w:line="240" w:lineRule="auto"/>
              <w:jc w:val="both"/>
              <w:rPr>
                <w:rFonts w:ascii="Arial" w:eastAsia="Calibri" w:hAnsi="Arial" w:cs="Arial"/>
                <w:color w:val="000000"/>
              </w:rPr>
            </w:pPr>
            <w:r w:rsidRPr="002C2121">
              <w:rPr>
                <w:rFonts w:ascii="Arial" w:eastAsia="Calibri" w:hAnsi="Arial" w:cs="Arial"/>
                <w:color w:val="000000"/>
              </w:rPr>
              <w:t>We are focused to have achieved our Public Sector Apprenticeship Reporting Target for this review period and are focused on maintaining this across the 2017-2021 review period.</w:t>
            </w:r>
          </w:p>
          <w:p w:rsidR="002C2121" w:rsidRPr="002C2121" w:rsidRDefault="002C2121" w:rsidP="002C2121">
            <w:pPr>
              <w:spacing w:after="0" w:line="240" w:lineRule="auto"/>
              <w:jc w:val="both"/>
              <w:rPr>
                <w:rFonts w:ascii="Arial" w:eastAsia="Calibri" w:hAnsi="Arial" w:cs="Arial"/>
                <w:color w:val="000000"/>
              </w:rPr>
            </w:pPr>
            <w:r w:rsidRPr="002C2121">
              <w:rPr>
                <w:rFonts w:ascii="Arial" w:eastAsia="Calibri" w:hAnsi="Arial" w:cs="Arial"/>
                <w:color w:val="000000"/>
              </w:rPr>
              <w:t xml:space="preserve"> </w:t>
            </w:r>
          </w:p>
          <w:p w:rsidR="002C2121" w:rsidRPr="002C2121" w:rsidRDefault="002C2121" w:rsidP="002C2121">
            <w:pPr>
              <w:spacing w:after="0" w:line="240" w:lineRule="auto"/>
              <w:jc w:val="both"/>
              <w:rPr>
                <w:rFonts w:ascii="Arial" w:eastAsia="Calibri" w:hAnsi="Arial" w:cs="Arial"/>
                <w:color w:val="000000"/>
              </w:rPr>
            </w:pPr>
            <w:r w:rsidRPr="002C2121">
              <w:rPr>
                <w:rFonts w:ascii="Arial" w:eastAsia="Calibri" w:hAnsi="Arial" w:cs="Arial"/>
                <w:color w:val="000000"/>
              </w:rPr>
              <w:t>We have achieved what we set out to do in 2019 to 2020; namely to extend the usage of apprenticeships at a higher level across the organisation and to create apprenticeship opportunities for existing employees.  It is our intention to continue to do this as part of the 2020/21 budget setting process.</w:t>
            </w:r>
          </w:p>
          <w:p w:rsidR="002C2121" w:rsidRPr="002C2121" w:rsidRDefault="002C2121" w:rsidP="002C2121">
            <w:pPr>
              <w:spacing w:after="0" w:line="240" w:lineRule="auto"/>
              <w:jc w:val="both"/>
              <w:rPr>
                <w:rFonts w:ascii="Arial" w:eastAsia="Calibri" w:hAnsi="Arial" w:cs="Arial"/>
                <w:color w:val="000000"/>
              </w:rPr>
            </w:pPr>
          </w:p>
          <w:p w:rsidR="002C2121" w:rsidRPr="002C2121" w:rsidRDefault="002C2121" w:rsidP="002C2121">
            <w:pPr>
              <w:spacing w:after="0" w:line="240" w:lineRule="auto"/>
              <w:jc w:val="both"/>
              <w:rPr>
                <w:rFonts w:ascii="Arial" w:eastAsia="Times New Roman" w:hAnsi="Arial" w:cs="Arial"/>
                <w:color w:val="000000"/>
                <w:lang w:val="en" w:eastAsia="en-GB"/>
              </w:rPr>
            </w:pPr>
            <w:r w:rsidRPr="002C2121">
              <w:rPr>
                <w:rFonts w:ascii="Arial" w:eastAsia="Calibri" w:hAnsi="Arial" w:cs="Arial"/>
                <w:color w:val="000000"/>
              </w:rPr>
              <w:t>When recruiting at a junior level line managers are encouraged to consider the suitability of an apprentice</w:t>
            </w:r>
            <w:r w:rsidRPr="002C2121">
              <w:rPr>
                <w:rFonts w:ascii="Arial" w:eastAsia="Times New Roman" w:hAnsi="Arial" w:cs="Arial"/>
                <w:color w:val="000000"/>
                <w:lang w:val="en" w:eastAsia="en-GB"/>
              </w:rPr>
              <w:t xml:space="preserve"> model in the recruitment that they undertake.</w:t>
            </w:r>
          </w:p>
          <w:p w:rsidR="002C2121" w:rsidRPr="002C2121" w:rsidRDefault="002C2121" w:rsidP="002C2121">
            <w:pPr>
              <w:spacing w:after="0" w:line="240" w:lineRule="auto"/>
              <w:jc w:val="both"/>
              <w:rPr>
                <w:rFonts w:ascii="Arial" w:eastAsia="Calibri" w:hAnsi="Arial" w:cs="Arial"/>
                <w:b/>
                <w:color w:val="000000"/>
              </w:rPr>
            </w:pPr>
          </w:p>
        </w:tc>
      </w:tr>
      <w:tr w:rsidR="002C2121" w:rsidRPr="002C2121" w:rsidTr="001D4779">
        <w:tc>
          <w:tcPr>
            <w:tcW w:w="9214" w:type="dxa"/>
            <w:shd w:val="clear" w:color="auto" w:fill="auto"/>
          </w:tcPr>
          <w:p w:rsidR="002C2121" w:rsidRPr="002C2121" w:rsidRDefault="002C2121" w:rsidP="002C2121">
            <w:pPr>
              <w:spacing w:after="0" w:line="240" w:lineRule="auto"/>
              <w:jc w:val="both"/>
              <w:rPr>
                <w:rFonts w:ascii="Arial" w:eastAsia="Calibri" w:hAnsi="Arial" w:cs="Arial"/>
                <w:b/>
                <w:color w:val="000000"/>
              </w:rPr>
            </w:pPr>
            <w:r w:rsidRPr="002C2121">
              <w:rPr>
                <w:rFonts w:ascii="Arial" w:eastAsia="Calibri" w:hAnsi="Arial" w:cs="Arial"/>
                <w:b/>
                <w:color w:val="000000"/>
              </w:rPr>
              <w:t>Tell us about any challenges you have faced in your efforts to meet the target</w:t>
            </w:r>
          </w:p>
        </w:tc>
      </w:tr>
      <w:tr w:rsidR="002C2121" w:rsidRPr="002C2121" w:rsidTr="001D4779">
        <w:tc>
          <w:tcPr>
            <w:tcW w:w="9214" w:type="dxa"/>
            <w:shd w:val="clear" w:color="auto" w:fill="auto"/>
          </w:tcPr>
          <w:p w:rsidR="002C2121" w:rsidRPr="002C2121" w:rsidRDefault="002C2121" w:rsidP="002C2121">
            <w:pPr>
              <w:spacing w:after="0" w:line="240" w:lineRule="auto"/>
              <w:jc w:val="both"/>
              <w:rPr>
                <w:rFonts w:ascii="Arial" w:eastAsia="Calibri" w:hAnsi="Arial" w:cs="Arial"/>
                <w:b/>
                <w:color w:val="000000"/>
              </w:rPr>
            </w:pPr>
          </w:p>
          <w:p w:rsidR="002C2121" w:rsidRPr="002C2121" w:rsidRDefault="002C2121" w:rsidP="002C2121">
            <w:pPr>
              <w:spacing w:after="0" w:line="240" w:lineRule="auto"/>
              <w:jc w:val="both"/>
              <w:rPr>
                <w:rFonts w:ascii="Arial" w:eastAsia="Calibri" w:hAnsi="Arial" w:cs="Arial"/>
                <w:color w:val="00B0F0"/>
              </w:rPr>
            </w:pPr>
            <w:r w:rsidRPr="002C2121">
              <w:rPr>
                <w:rFonts w:ascii="Arial" w:eastAsia="Calibri" w:hAnsi="Arial" w:cs="Arial"/>
                <w:color w:val="000000"/>
              </w:rPr>
              <w:t xml:space="preserve">Of the 15 apprentices who were </w:t>
            </w:r>
            <w:r w:rsidRPr="002C2121">
              <w:rPr>
                <w:rFonts w:ascii="Arial" w:eastAsia="Calibri" w:hAnsi="Arial" w:cs="Arial"/>
              </w:rPr>
              <w:t>employed at 31st March 2020, 6 are existing staff who are upskilling.  As a relatively small council we have a more limited opportunity for creating new posts in the structure, without unreasonably and exponentially increasing the overall head count.</w:t>
            </w:r>
            <w:r w:rsidRPr="002C2121">
              <w:rPr>
                <w:rFonts w:ascii="Arial" w:eastAsia="Calibri" w:hAnsi="Arial" w:cs="Arial"/>
                <w:color w:val="00B0F0"/>
              </w:rPr>
              <w:t xml:space="preserve"> </w:t>
            </w:r>
          </w:p>
          <w:p w:rsidR="002C2121" w:rsidRPr="002C2121" w:rsidRDefault="002C2121" w:rsidP="002C2121">
            <w:pPr>
              <w:spacing w:after="0" w:line="240" w:lineRule="auto"/>
              <w:jc w:val="both"/>
              <w:rPr>
                <w:rFonts w:ascii="Arial" w:eastAsia="Calibri" w:hAnsi="Arial" w:cs="Arial"/>
                <w:b/>
              </w:rPr>
            </w:pPr>
          </w:p>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rPr>
              <w:t>We employ 4 apprentices on a four year apprenticeship programme. Whilst this longer term approach is beneficial to both the organisation and the individual the number of new apprenticeship starts in the interim years is limited.</w:t>
            </w:r>
          </w:p>
          <w:p w:rsidR="002C2121" w:rsidRPr="002C2121" w:rsidRDefault="002C2121" w:rsidP="002C2121">
            <w:pPr>
              <w:spacing w:after="0" w:line="240" w:lineRule="auto"/>
              <w:jc w:val="both"/>
              <w:rPr>
                <w:rFonts w:ascii="Arial" w:eastAsia="Calibri" w:hAnsi="Arial" w:cs="Arial"/>
              </w:rPr>
            </w:pPr>
          </w:p>
          <w:p w:rsidR="002C2121" w:rsidRPr="002C2121" w:rsidRDefault="002C2121" w:rsidP="002C2121">
            <w:pPr>
              <w:spacing w:after="0" w:line="240" w:lineRule="auto"/>
              <w:jc w:val="both"/>
              <w:rPr>
                <w:rFonts w:ascii="Arial" w:eastAsia="Calibri" w:hAnsi="Arial" w:cs="Arial"/>
              </w:rPr>
            </w:pPr>
            <w:r w:rsidRPr="002C2121">
              <w:rPr>
                <w:rFonts w:ascii="Arial" w:eastAsia="Calibri" w:hAnsi="Arial" w:cs="Arial"/>
              </w:rPr>
              <w:t>We are committed to career development at an entry level and have developed our own graduate models within certain services.  We would like to convert these programmes into a higher level apprenticeship (Level 4) this will be explored as resources allow.</w:t>
            </w:r>
          </w:p>
          <w:p w:rsidR="002C2121" w:rsidRPr="002C2121" w:rsidRDefault="002C2121" w:rsidP="002C2121">
            <w:pPr>
              <w:spacing w:after="0" w:line="240" w:lineRule="auto"/>
              <w:jc w:val="both"/>
              <w:rPr>
                <w:rFonts w:ascii="Arial" w:eastAsia="Calibri" w:hAnsi="Arial" w:cs="Arial"/>
                <w:b/>
                <w:color w:val="00B0F0"/>
              </w:rPr>
            </w:pPr>
          </w:p>
          <w:p w:rsidR="002C2121" w:rsidRPr="002C2121" w:rsidRDefault="002C2121" w:rsidP="002C2121">
            <w:pPr>
              <w:spacing w:after="0" w:line="240" w:lineRule="auto"/>
              <w:jc w:val="both"/>
              <w:rPr>
                <w:rFonts w:ascii="Arial" w:eastAsia="Calibri" w:hAnsi="Arial" w:cs="Arial"/>
                <w:b/>
                <w:color w:val="000000"/>
              </w:rPr>
            </w:pPr>
          </w:p>
        </w:tc>
      </w:tr>
      <w:tr w:rsidR="002C2121" w:rsidRPr="002C2121" w:rsidTr="001D4779">
        <w:tc>
          <w:tcPr>
            <w:tcW w:w="9214" w:type="dxa"/>
            <w:shd w:val="clear" w:color="auto" w:fill="auto"/>
          </w:tcPr>
          <w:p w:rsidR="002C2121" w:rsidRPr="002C2121" w:rsidRDefault="002C2121" w:rsidP="002C2121">
            <w:pPr>
              <w:spacing w:after="0" w:line="240" w:lineRule="auto"/>
              <w:jc w:val="both"/>
              <w:rPr>
                <w:rFonts w:ascii="Arial" w:eastAsia="Calibri" w:hAnsi="Arial" w:cs="Arial"/>
                <w:b/>
                <w:color w:val="000000"/>
              </w:rPr>
            </w:pPr>
            <w:r w:rsidRPr="002C2121">
              <w:rPr>
                <w:rFonts w:ascii="Arial" w:eastAsia="Calibri" w:hAnsi="Arial" w:cs="Arial"/>
                <w:b/>
                <w:color w:val="000000"/>
              </w:rPr>
              <w:t>How are you planning to ensure you meet the target in future</w:t>
            </w:r>
          </w:p>
        </w:tc>
      </w:tr>
      <w:tr w:rsidR="002C2121" w:rsidRPr="002C2121" w:rsidTr="001D4779">
        <w:tc>
          <w:tcPr>
            <w:tcW w:w="9214" w:type="dxa"/>
            <w:shd w:val="clear" w:color="auto" w:fill="auto"/>
          </w:tcPr>
          <w:p w:rsidR="002C2121" w:rsidRPr="002C2121" w:rsidRDefault="002C2121" w:rsidP="002C2121">
            <w:pPr>
              <w:spacing w:after="0" w:line="240" w:lineRule="auto"/>
              <w:jc w:val="both"/>
              <w:rPr>
                <w:rFonts w:ascii="Arial" w:eastAsia="Calibri" w:hAnsi="Arial" w:cs="Arial"/>
                <w:color w:val="000000"/>
              </w:rPr>
            </w:pPr>
          </w:p>
          <w:p w:rsidR="002C2121" w:rsidRPr="002C2121" w:rsidRDefault="002C2121" w:rsidP="002C2121">
            <w:pPr>
              <w:spacing w:after="0" w:line="240" w:lineRule="auto"/>
              <w:jc w:val="both"/>
              <w:rPr>
                <w:rFonts w:ascii="Arial" w:eastAsia="Times New Roman" w:hAnsi="Arial" w:cs="Arial"/>
                <w:color w:val="000000"/>
                <w:lang w:val="en" w:eastAsia="en-GB"/>
              </w:rPr>
            </w:pPr>
            <w:r w:rsidRPr="002C2121">
              <w:rPr>
                <w:rFonts w:ascii="Arial" w:eastAsia="Calibri" w:hAnsi="Arial" w:cs="Arial"/>
                <w:color w:val="000000"/>
              </w:rPr>
              <w:t>Further work is planned to consider how we can maintain our apprentice numbers whilst also providing meaningful work opportunities to help individuals achieve their qualification.  These objectives were built into our service</w:t>
            </w:r>
            <w:r w:rsidRPr="002C2121">
              <w:rPr>
                <w:rFonts w:ascii="Arial" w:eastAsia="Times New Roman" w:hAnsi="Arial" w:cs="Arial"/>
                <w:color w:val="000000"/>
                <w:lang w:val="en" w:eastAsia="en-GB"/>
              </w:rPr>
              <w:t xml:space="preserve"> plans for 2017/18, 2018/19 and 2019/2020 and we will continue to have regard to the target in our 2020/2021 and 2021/2022 service plans.</w:t>
            </w:r>
          </w:p>
          <w:p w:rsidR="002C2121" w:rsidRPr="002C2121" w:rsidRDefault="002C2121" w:rsidP="002C2121">
            <w:pPr>
              <w:spacing w:after="0" w:line="240" w:lineRule="auto"/>
              <w:jc w:val="both"/>
              <w:rPr>
                <w:rFonts w:ascii="Arial" w:eastAsia="Calibri" w:hAnsi="Arial" w:cs="Arial"/>
                <w:b/>
                <w:color w:val="000000"/>
              </w:rPr>
            </w:pPr>
          </w:p>
        </w:tc>
      </w:tr>
      <w:tr w:rsidR="002C2121" w:rsidRPr="002C2121" w:rsidTr="001D4779">
        <w:tc>
          <w:tcPr>
            <w:tcW w:w="9214" w:type="dxa"/>
            <w:shd w:val="clear" w:color="auto" w:fill="auto"/>
          </w:tcPr>
          <w:p w:rsidR="002C2121" w:rsidRPr="002C2121" w:rsidRDefault="002C2121" w:rsidP="002C2121">
            <w:pPr>
              <w:spacing w:after="0" w:line="240" w:lineRule="auto"/>
              <w:jc w:val="both"/>
              <w:rPr>
                <w:rFonts w:ascii="Arial" w:eastAsia="Calibri" w:hAnsi="Arial" w:cs="Arial"/>
                <w:b/>
                <w:color w:val="000000"/>
              </w:rPr>
            </w:pPr>
            <w:r w:rsidRPr="002C2121">
              <w:rPr>
                <w:rFonts w:ascii="Arial" w:eastAsia="Calibri" w:hAnsi="Arial" w:cs="Arial"/>
                <w:b/>
                <w:color w:val="000000"/>
              </w:rPr>
              <w:t>Do you have anything else you want to tell us (optional)</w:t>
            </w:r>
          </w:p>
          <w:p w:rsidR="002C2121" w:rsidRPr="002C2121" w:rsidRDefault="002C2121" w:rsidP="002C2121">
            <w:pPr>
              <w:spacing w:after="0" w:line="240" w:lineRule="auto"/>
              <w:jc w:val="both"/>
              <w:rPr>
                <w:rFonts w:ascii="Arial" w:eastAsia="Calibri" w:hAnsi="Arial" w:cs="Arial"/>
                <w:color w:val="000000"/>
              </w:rPr>
            </w:pPr>
          </w:p>
          <w:p w:rsidR="002C2121" w:rsidRPr="002C2121" w:rsidRDefault="002C2121" w:rsidP="002C2121">
            <w:pPr>
              <w:spacing w:after="0" w:line="240" w:lineRule="auto"/>
              <w:jc w:val="both"/>
              <w:rPr>
                <w:rFonts w:ascii="Arial" w:eastAsia="Calibri" w:hAnsi="Arial" w:cs="Arial"/>
                <w:color w:val="000000"/>
              </w:rPr>
            </w:pPr>
            <w:r w:rsidRPr="002C2121">
              <w:rPr>
                <w:rFonts w:ascii="Arial" w:eastAsia="Calibri" w:hAnsi="Arial" w:cs="Arial"/>
                <w:color w:val="000000"/>
              </w:rPr>
              <w:t xml:space="preserve">To make apprenticeships accessible to all we introduced an Apprenticeship Wage Allowance in 2015. </w:t>
            </w:r>
          </w:p>
          <w:p w:rsidR="002C2121" w:rsidRPr="002C2121" w:rsidRDefault="002C2121" w:rsidP="002C2121">
            <w:pPr>
              <w:spacing w:before="100" w:beforeAutospacing="1" w:after="100" w:afterAutospacing="1" w:line="240" w:lineRule="auto"/>
              <w:rPr>
                <w:rFonts w:ascii="Arial" w:eastAsia="Calibri" w:hAnsi="Arial" w:cs="Arial"/>
                <w:color w:val="000000"/>
              </w:rPr>
            </w:pPr>
            <w:r w:rsidRPr="002C2121">
              <w:rPr>
                <w:rFonts w:ascii="Arial" w:eastAsia="Calibri" w:hAnsi="Arial" w:cs="Arial"/>
                <w:color w:val="000000"/>
              </w:rPr>
              <w:t>The Apprenticeship Wage Allowance is greater than the statutory Apprentice Wage rate.  Currently we pay apprentices the age appropriate to the National Minimum Wage plus 0.15 pence per hour which is a higher rate than the statutory Apprenticeship rate.</w:t>
            </w:r>
          </w:p>
        </w:tc>
      </w:tr>
    </w:tbl>
    <w:p w:rsidR="006E76E6" w:rsidRDefault="006E76E6"/>
    <w:sectPr w:rsidR="006E7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121"/>
    <w:rsid w:val="002C2121"/>
    <w:rsid w:val="006E7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8B29"/>
  <w15:chartTrackingRefBased/>
  <w15:docId w15:val="{92424680-220E-474E-906F-46E8820F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Janson</dc:creator>
  <cp:keywords/>
  <dc:description/>
  <cp:lastModifiedBy>Judy Janson</cp:lastModifiedBy>
  <cp:revision>1</cp:revision>
  <dcterms:created xsi:type="dcterms:W3CDTF">2023-07-07T09:59:00Z</dcterms:created>
  <dcterms:modified xsi:type="dcterms:W3CDTF">2023-07-07T10:00:00Z</dcterms:modified>
</cp:coreProperties>
</file>