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82A7" w14:textId="4132C1F2" w:rsidR="00767309" w:rsidRPr="0050766A" w:rsidRDefault="00BE6465" w:rsidP="0050766A">
      <w:pPr>
        <w:jc w:val="both"/>
        <w:rPr>
          <w:rFonts w:cs="Arial"/>
          <w:b/>
          <w:bCs/>
          <w:u w:val="single"/>
          <w:shd w:val="clear" w:color="auto" w:fill="FFFFFF"/>
        </w:rPr>
      </w:pPr>
      <w:r>
        <w:rPr>
          <w:rFonts w:cs="Arial"/>
          <w:b/>
          <w:bCs/>
          <w:u w:val="single"/>
          <w:shd w:val="clear" w:color="auto" w:fill="FFFFFF"/>
        </w:rPr>
        <w:t xml:space="preserve"> Appellants’ </w:t>
      </w:r>
      <w:r w:rsidR="004C5967" w:rsidRPr="0050766A">
        <w:rPr>
          <w:rFonts w:cs="Arial"/>
          <w:b/>
          <w:bCs/>
          <w:u w:val="single"/>
          <w:shd w:val="clear" w:color="auto" w:fill="FFFFFF"/>
        </w:rPr>
        <w:t xml:space="preserve">Responses to the </w:t>
      </w:r>
      <w:r w:rsidR="00767309" w:rsidRPr="0050766A">
        <w:rPr>
          <w:rFonts w:cs="Arial"/>
          <w:b/>
          <w:bCs/>
          <w:u w:val="single"/>
          <w:shd w:val="clear" w:color="auto" w:fill="FFFFFF"/>
        </w:rPr>
        <w:t>7 Questions</w:t>
      </w:r>
      <w:r w:rsidR="004C5967" w:rsidRPr="0050766A">
        <w:rPr>
          <w:rFonts w:cs="Arial"/>
          <w:b/>
          <w:bCs/>
          <w:u w:val="single"/>
          <w:shd w:val="clear" w:color="auto" w:fill="FFFFFF"/>
        </w:rPr>
        <w:t xml:space="preserve"> raised by the Planning Inspector.</w:t>
      </w:r>
    </w:p>
    <w:p w14:paraId="02A2D443" w14:textId="25BA2921" w:rsidR="004C5967" w:rsidRPr="0050766A" w:rsidRDefault="00BB622A" w:rsidP="0050766A">
      <w:pPr>
        <w:ind w:left="360"/>
        <w:jc w:val="both"/>
        <w:rPr>
          <w:rFonts w:eastAsia="Times New Roman"/>
        </w:rPr>
      </w:pPr>
      <w:r w:rsidRPr="0050766A">
        <w:rPr>
          <w:rFonts w:eastAsia="Times New Roman"/>
        </w:rPr>
        <w:t>Q1</w:t>
      </w:r>
      <w:r w:rsidR="000C7840">
        <w:rPr>
          <w:rFonts w:eastAsia="Times New Roman"/>
        </w:rPr>
        <w:t xml:space="preserve">- </w:t>
      </w:r>
      <w:r w:rsidR="004C5967" w:rsidRPr="0050766A">
        <w:rPr>
          <w:rFonts w:eastAsia="Times New Roman"/>
        </w:rPr>
        <w:t xml:space="preserve">How should PINS regard the written ministerial statement </w:t>
      </w:r>
      <w:r w:rsidR="00331C01">
        <w:rPr>
          <w:rFonts w:eastAsia="Times New Roman"/>
        </w:rPr>
        <w:t xml:space="preserve">(WMS) </w:t>
      </w:r>
      <w:r w:rsidR="004C5967" w:rsidRPr="0050766A">
        <w:rPr>
          <w:rFonts w:eastAsia="Times New Roman"/>
        </w:rPr>
        <w:t xml:space="preserve">setting out the Government’s intention to build 1.5m homes within 5 years? </w:t>
      </w:r>
    </w:p>
    <w:p w14:paraId="5B92C201" w14:textId="26FE8E7B" w:rsidR="000C7840" w:rsidRDefault="00BB622A" w:rsidP="0050766A">
      <w:pPr>
        <w:ind w:left="360"/>
        <w:jc w:val="both"/>
        <w:rPr>
          <w:rFonts w:cs="Arial"/>
          <w:shd w:val="clear" w:color="auto" w:fill="FFFFFF"/>
        </w:rPr>
      </w:pPr>
      <w:r w:rsidRPr="0050766A">
        <w:rPr>
          <w:rFonts w:cs="Arial"/>
          <w:shd w:val="clear" w:color="auto" w:fill="FFFFFF"/>
        </w:rPr>
        <w:t>A1</w:t>
      </w:r>
      <w:r w:rsidR="00E576C4">
        <w:rPr>
          <w:rFonts w:cs="Arial"/>
          <w:shd w:val="clear" w:color="auto" w:fill="FFFFFF"/>
        </w:rPr>
        <w:t xml:space="preserve">. </w:t>
      </w:r>
      <w:r w:rsidRPr="0050766A">
        <w:rPr>
          <w:rFonts w:cs="Arial"/>
          <w:shd w:val="clear" w:color="auto" w:fill="FFFFFF"/>
        </w:rPr>
        <w:t xml:space="preserve"> </w:t>
      </w:r>
      <w:r w:rsidR="004C5967" w:rsidRPr="0050766A">
        <w:rPr>
          <w:rFonts w:cs="Arial"/>
          <w:shd w:val="clear" w:color="auto" w:fill="FFFFFF"/>
        </w:rPr>
        <w:t xml:space="preserve">A WMS is an official document issued by a </w:t>
      </w:r>
      <w:proofErr w:type="gramStart"/>
      <w:r w:rsidR="004C5967" w:rsidRPr="0050766A">
        <w:rPr>
          <w:rFonts w:cs="Arial"/>
          <w:shd w:val="clear" w:color="auto" w:fill="FFFFFF"/>
        </w:rPr>
        <w:t>Government</w:t>
      </w:r>
      <w:proofErr w:type="gramEnd"/>
      <w:r w:rsidR="004C5967" w:rsidRPr="0050766A">
        <w:rPr>
          <w:rFonts w:cs="Arial"/>
          <w:shd w:val="clear" w:color="auto" w:fill="FFFFFF"/>
        </w:rPr>
        <w:t xml:space="preserve"> minister to inform Parliament and the public about a specific matter of policy, Government activity, or other significant issue. </w:t>
      </w:r>
    </w:p>
    <w:p w14:paraId="3FEB4CAF" w14:textId="36BC28BF" w:rsidR="000E2A91" w:rsidRDefault="000E2A91" w:rsidP="000E2A91">
      <w:pPr>
        <w:ind w:left="360"/>
        <w:jc w:val="both"/>
        <w:rPr>
          <w:rFonts w:cs="Arial"/>
          <w:shd w:val="clear" w:color="auto" w:fill="FFFFFF"/>
        </w:rPr>
      </w:pPr>
      <w:r w:rsidRPr="000E2A91">
        <w:rPr>
          <w:rFonts w:cs="Arial"/>
          <w:shd w:val="clear" w:color="auto" w:fill="FFFFFF"/>
        </w:rPr>
        <w:t>Despite the fact that the online PPG can easily be updated, the government continues to</w:t>
      </w:r>
      <w:r>
        <w:rPr>
          <w:rFonts w:cs="Arial"/>
          <w:shd w:val="clear" w:color="auto" w:fill="FFFFFF"/>
        </w:rPr>
        <w:t xml:space="preserve"> </w:t>
      </w:r>
      <w:r w:rsidRPr="000E2A91">
        <w:rPr>
          <w:rFonts w:cs="Arial"/>
          <w:shd w:val="clear" w:color="auto" w:fill="FFFFFF"/>
        </w:rPr>
        <w:t xml:space="preserve">use a combination of online PPG updates and </w:t>
      </w:r>
      <w:r>
        <w:rPr>
          <w:rFonts w:cs="Arial"/>
          <w:shd w:val="clear" w:color="auto" w:fill="FFFFFF"/>
        </w:rPr>
        <w:t>WMS</w:t>
      </w:r>
      <w:r w:rsidRPr="000E2A91">
        <w:rPr>
          <w:rFonts w:cs="Arial"/>
          <w:shd w:val="clear" w:color="auto" w:fill="FFFFFF"/>
        </w:rPr>
        <w:t xml:space="preserve"> to update</w:t>
      </w:r>
      <w:r>
        <w:rPr>
          <w:rFonts w:cs="Arial"/>
          <w:shd w:val="clear" w:color="auto" w:fill="FFFFFF"/>
        </w:rPr>
        <w:t xml:space="preserve"> </w:t>
      </w:r>
      <w:r w:rsidRPr="000E2A91">
        <w:rPr>
          <w:rFonts w:cs="Arial"/>
          <w:shd w:val="clear" w:color="auto" w:fill="FFFFFF"/>
        </w:rPr>
        <w:t>policy guidance, as well as to making amendments and/or additions to the NPPF. The</w:t>
      </w:r>
      <w:r>
        <w:rPr>
          <w:rFonts w:cs="Arial"/>
          <w:shd w:val="clear" w:color="auto" w:fill="FFFFFF"/>
        </w:rPr>
        <w:t xml:space="preserve"> </w:t>
      </w:r>
      <w:r w:rsidRPr="000E2A91">
        <w:rPr>
          <w:rFonts w:cs="Arial"/>
          <w:shd w:val="clear" w:color="auto" w:fill="FFFFFF"/>
        </w:rPr>
        <w:t xml:space="preserve">extent to which any particular </w:t>
      </w:r>
      <w:r>
        <w:rPr>
          <w:rFonts w:cs="Arial"/>
          <w:shd w:val="clear" w:color="auto" w:fill="FFFFFF"/>
        </w:rPr>
        <w:t>WMS</w:t>
      </w:r>
      <w:r w:rsidRPr="000E2A91">
        <w:rPr>
          <w:rFonts w:cs="Arial"/>
          <w:shd w:val="clear" w:color="auto" w:fill="FFFFFF"/>
        </w:rPr>
        <w:t xml:space="preserve"> amounts to a change to or</w:t>
      </w:r>
      <w:r>
        <w:rPr>
          <w:rFonts w:cs="Arial"/>
          <w:shd w:val="clear" w:color="auto" w:fill="FFFFFF"/>
        </w:rPr>
        <w:t xml:space="preserve"> </w:t>
      </w:r>
      <w:r w:rsidRPr="000E2A91">
        <w:rPr>
          <w:rFonts w:cs="Arial"/>
          <w:shd w:val="clear" w:color="auto" w:fill="FFFFFF"/>
        </w:rPr>
        <w:t>clarification of national policy will depend upon the particular circumstances, including</w:t>
      </w:r>
      <w:r>
        <w:rPr>
          <w:rFonts w:cs="Arial"/>
          <w:shd w:val="clear" w:color="auto" w:fill="FFFFFF"/>
        </w:rPr>
        <w:t xml:space="preserve"> </w:t>
      </w:r>
      <w:r w:rsidRPr="000E2A91">
        <w:rPr>
          <w:rFonts w:cs="Arial"/>
          <w:shd w:val="clear" w:color="auto" w:fill="FFFFFF"/>
        </w:rPr>
        <w:t xml:space="preserve">the wording of the particular </w:t>
      </w:r>
      <w:r>
        <w:rPr>
          <w:rFonts w:cs="Arial"/>
          <w:shd w:val="clear" w:color="auto" w:fill="FFFFFF"/>
        </w:rPr>
        <w:t>WMS</w:t>
      </w:r>
      <w:r w:rsidRPr="000E2A91">
        <w:rPr>
          <w:rFonts w:cs="Arial"/>
          <w:shd w:val="clear" w:color="auto" w:fill="FFFFFF"/>
        </w:rPr>
        <w:t xml:space="preserve"> itself.</w:t>
      </w:r>
    </w:p>
    <w:p w14:paraId="440698FD" w14:textId="3FB809E4" w:rsidR="004C5967" w:rsidRPr="0050766A" w:rsidRDefault="000E2A91" w:rsidP="0050766A">
      <w:pPr>
        <w:ind w:left="360"/>
        <w:jc w:val="both"/>
        <w:rPr>
          <w:rFonts w:cs="Arial"/>
          <w:shd w:val="clear" w:color="auto" w:fill="FFFFFF"/>
        </w:rPr>
      </w:pPr>
      <w:r>
        <w:rPr>
          <w:rFonts w:cs="Arial"/>
          <w:shd w:val="clear" w:color="auto" w:fill="FFFFFF"/>
        </w:rPr>
        <w:t>T</w:t>
      </w:r>
      <w:r w:rsidRPr="000E2A91">
        <w:rPr>
          <w:rFonts w:cs="Arial"/>
          <w:shd w:val="clear" w:color="auto" w:fill="FFFFFF"/>
        </w:rPr>
        <w:t>he WMS</w:t>
      </w:r>
      <w:r>
        <w:rPr>
          <w:rFonts w:cs="Arial"/>
          <w:shd w:val="clear" w:color="auto" w:fill="FFFFFF"/>
        </w:rPr>
        <w:t xml:space="preserve"> is </w:t>
      </w:r>
      <w:r w:rsidRPr="000E2A91">
        <w:rPr>
          <w:rFonts w:cs="Arial"/>
          <w:shd w:val="clear" w:color="auto" w:fill="FFFFFF"/>
        </w:rPr>
        <w:t xml:space="preserve">capable of being (and in </w:t>
      </w:r>
      <w:r>
        <w:rPr>
          <w:rFonts w:cs="Arial"/>
          <w:shd w:val="clear" w:color="auto" w:fill="FFFFFF"/>
        </w:rPr>
        <w:t>the Appellants’ view is</w:t>
      </w:r>
      <w:r w:rsidRPr="000E2A91">
        <w:rPr>
          <w:rFonts w:cs="Arial"/>
          <w:shd w:val="clear" w:color="auto" w:fill="FFFFFF"/>
        </w:rPr>
        <w:t>)</w:t>
      </w:r>
      <w:r>
        <w:rPr>
          <w:rFonts w:cs="Arial"/>
          <w:shd w:val="clear" w:color="auto" w:fill="FFFFFF"/>
        </w:rPr>
        <w:t xml:space="preserve"> a </w:t>
      </w:r>
      <w:r w:rsidRPr="000E2A91">
        <w:rPr>
          <w:rFonts w:cs="Arial"/>
          <w:shd w:val="clear" w:color="auto" w:fill="FFFFFF"/>
        </w:rPr>
        <w:t xml:space="preserve">material consideration for the purposes of the </w:t>
      </w:r>
      <w:r>
        <w:rPr>
          <w:rFonts w:cs="Arial"/>
          <w:shd w:val="clear" w:color="auto" w:fill="FFFFFF"/>
        </w:rPr>
        <w:t xml:space="preserve">appeal.  </w:t>
      </w:r>
      <w:r w:rsidR="004C5967" w:rsidRPr="0050766A">
        <w:rPr>
          <w:rFonts w:cs="Arial"/>
          <w:shd w:val="clear" w:color="auto" w:fill="FFFFFF"/>
        </w:rPr>
        <w:t>As it comes directly from ministers, representing the official stance from Government, it carries significant weight and can shape planning decisions across the country.     The weight to be attributed is ultimately down to the Decision Maker, but with the increased Housing Delivery Targets and relevant para</w:t>
      </w:r>
      <w:r w:rsidR="00C051F8">
        <w:rPr>
          <w:rFonts w:cs="Arial"/>
          <w:shd w:val="clear" w:color="auto" w:fill="FFFFFF"/>
        </w:rPr>
        <w:t>graph</w:t>
      </w:r>
      <w:r w:rsidR="004C5967" w:rsidRPr="0050766A">
        <w:rPr>
          <w:rFonts w:cs="Arial"/>
          <w:shd w:val="clear" w:color="auto" w:fill="FFFFFF"/>
        </w:rPr>
        <w:t xml:space="preserve">s in the NPPF </w:t>
      </w:r>
      <w:proofErr w:type="gramStart"/>
      <w:r w:rsidR="004C5967" w:rsidRPr="0050766A">
        <w:rPr>
          <w:rFonts w:cs="Arial"/>
          <w:shd w:val="clear" w:color="auto" w:fill="FFFFFF"/>
        </w:rPr>
        <w:t>it is clear that a</w:t>
      </w:r>
      <w:proofErr w:type="gramEnd"/>
      <w:r w:rsidR="004C5967" w:rsidRPr="0050766A">
        <w:rPr>
          <w:rFonts w:cs="Arial"/>
          <w:shd w:val="clear" w:color="auto" w:fill="FFFFFF"/>
        </w:rPr>
        <w:t xml:space="preserve"> positive approach to housing delivery is a matter of very significant weight.</w:t>
      </w:r>
    </w:p>
    <w:p w14:paraId="4C27EC04" w14:textId="708CAE16" w:rsidR="004C5967" w:rsidRDefault="00845A7A" w:rsidP="0050766A">
      <w:pPr>
        <w:spacing w:after="0" w:line="240" w:lineRule="auto"/>
        <w:ind w:left="360"/>
        <w:jc w:val="both"/>
        <w:rPr>
          <w:rFonts w:eastAsia="Times New Roman"/>
        </w:rPr>
      </w:pPr>
      <w:r w:rsidRPr="0050766A">
        <w:rPr>
          <w:rFonts w:eastAsia="Times New Roman"/>
        </w:rPr>
        <w:t xml:space="preserve">Q2.  </w:t>
      </w:r>
      <w:r w:rsidR="004C5967" w:rsidRPr="0050766A">
        <w:rPr>
          <w:rFonts w:eastAsia="Times New Roman"/>
        </w:rPr>
        <w:t xml:space="preserve">Which core document / where is it explained as to what the trajectory of the Peak Debt Burden of the scheme is? </w:t>
      </w:r>
    </w:p>
    <w:p w14:paraId="3636D230" w14:textId="77777777" w:rsidR="00E576C4" w:rsidRDefault="00E576C4" w:rsidP="0050766A">
      <w:pPr>
        <w:spacing w:after="0" w:line="240" w:lineRule="auto"/>
        <w:ind w:left="360"/>
        <w:jc w:val="both"/>
        <w:rPr>
          <w:rFonts w:eastAsia="Times New Roman"/>
        </w:rPr>
      </w:pPr>
    </w:p>
    <w:p w14:paraId="24020BDD" w14:textId="6E97706E" w:rsidR="00E576C4" w:rsidRPr="0050766A" w:rsidRDefault="00E576C4" w:rsidP="0050766A">
      <w:pPr>
        <w:spacing w:after="0" w:line="240" w:lineRule="auto"/>
        <w:ind w:left="360"/>
        <w:jc w:val="both"/>
        <w:rPr>
          <w:rFonts w:eastAsia="Times New Roman"/>
        </w:rPr>
      </w:pPr>
      <w:r>
        <w:rPr>
          <w:rFonts w:eastAsia="Times New Roman"/>
        </w:rPr>
        <w:t xml:space="preserve">A2. </w:t>
      </w:r>
      <w:r w:rsidR="00331C01">
        <w:rPr>
          <w:rFonts w:eastAsia="Times New Roman"/>
        </w:rPr>
        <w:t xml:space="preserve"> Please refer to the </w:t>
      </w:r>
      <w:r w:rsidR="000E2A91">
        <w:rPr>
          <w:rFonts w:eastAsia="Times New Roman"/>
        </w:rPr>
        <w:t xml:space="preserve">response </w:t>
      </w:r>
      <w:r w:rsidR="00331C01">
        <w:rPr>
          <w:rFonts w:eastAsia="Times New Roman"/>
        </w:rPr>
        <w:t>prepared by Chris Wheaton of Quod.</w:t>
      </w:r>
    </w:p>
    <w:p w14:paraId="0F5592EC" w14:textId="77777777" w:rsidR="00845A7A" w:rsidRPr="0050766A" w:rsidRDefault="00845A7A" w:rsidP="0050766A">
      <w:pPr>
        <w:spacing w:after="0" w:line="240" w:lineRule="auto"/>
        <w:ind w:left="360"/>
        <w:jc w:val="both"/>
        <w:rPr>
          <w:rFonts w:eastAsia="Times New Roman"/>
        </w:rPr>
      </w:pPr>
    </w:p>
    <w:p w14:paraId="3F7A7D87" w14:textId="22098514" w:rsidR="00CC6CDF" w:rsidRPr="0050766A" w:rsidRDefault="00845A7A" w:rsidP="0050766A">
      <w:pPr>
        <w:spacing w:after="0" w:line="240" w:lineRule="auto"/>
        <w:ind w:left="360"/>
        <w:jc w:val="both"/>
        <w:rPr>
          <w:rFonts w:eastAsia="Times New Roman"/>
        </w:rPr>
      </w:pPr>
      <w:r w:rsidRPr="0050766A">
        <w:rPr>
          <w:rFonts w:eastAsia="Times New Roman"/>
        </w:rPr>
        <w:t>Q</w:t>
      </w:r>
      <w:r w:rsidR="00CC6CDF" w:rsidRPr="0050766A">
        <w:rPr>
          <w:rFonts w:eastAsia="Times New Roman"/>
        </w:rPr>
        <w:t>3</w:t>
      </w:r>
      <w:r w:rsidR="00C051F8">
        <w:rPr>
          <w:rFonts w:eastAsia="Times New Roman"/>
        </w:rPr>
        <w:t xml:space="preserve"> </w:t>
      </w:r>
      <w:r w:rsidR="004C5967" w:rsidRPr="0050766A">
        <w:rPr>
          <w:rFonts w:eastAsia="Times New Roman"/>
        </w:rPr>
        <w:t>Are parties in agreement that the paragraphs set out in paragraph 32 of ABC’s opening are applicable within the s106A and B context / consideration?</w:t>
      </w:r>
    </w:p>
    <w:p w14:paraId="675B1BE0" w14:textId="77777777" w:rsidR="00CC6CDF" w:rsidRPr="0050766A" w:rsidRDefault="00CC6CDF" w:rsidP="0050766A">
      <w:pPr>
        <w:spacing w:after="0" w:line="240" w:lineRule="auto"/>
        <w:ind w:left="360"/>
        <w:jc w:val="both"/>
        <w:rPr>
          <w:rFonts w:eastAsia="Times New Roman"/>
        </w:rPr>
      </w:pPr>
    </w:p>
    <w:p w14:paraId="3A8BE254" w14:textId="77777777" w:rsidR="00CC6CDF" w:rsidRPr="0050766A" w:rsidRDefault="004C5967" w:rsidP="0050766A">
      <w:pPr>
        <w:pStyle w:val="ListParagraph"/>
        <w:jc w:val="both"/>
        <w:rPr>
          <w:b/>
          <w:bCs/>
          <w:i/>
          <w:iCs/>
        </w:rPr>
      </w:pPr>
      <w:r w:rsidRPr="0050766A">
        <w:rPr>
          <w:rFonts w:eastAsia="Times New Roman"/>
        </w:rPr>
        <w:t xml:space="preserve"> </w:t>
      </w:r>
      <w:r w:rsidR="00CC6CDF" w:rsidRPr="0050766A">
        <w:rPr>
          <w:b/>
          <w:bCs/>
          <w:i/>
          <w:iCs/>
        </w:rPr>
        <w:t>“The PPG makes clear that viability assessments must be transparent and publicly available</w:t>
      </w:r>
      <w:r w:rsidR="00CC6CDF" w:rsidRPr="0050766A">
        <w:rPr>
          <w:b/>
          <w:bCs/>
          <w:i/>
          <w:iCs/>
          <w:vertAlign w:val="superscript"/>
          <w14:ligatures w14:val="none"/>
        </w:rPr>
        <w:footnoteReference w:customMarkFollows="1" w:id="1"/>
        <w:t>[1]</w:t>
      </w:r>
      <w:r w:rsidR="00CC6CDF" w:rsidRPr="0050766A">
        <w:rPr>
          <w:b/>
          <w:bCs/>
          <w:i/>
          <w:iCs/>
        </w:rPr>
        <w:t>; and that the weight to be given to a viability assessment is determined having regard inter alia to “the transparency of assumptions behind evidence submitted.”</w:t>
      </w:r>
      <w:r w:rsidR="00CC6CDF" w:rsidRPr="0050766A">
        <w:rPr>
          <w:b/>
          <w:bCs/>
          <w:i/>
          <w:iCs/>
          <w:vertAlign w:val="superscript"/>
          <w14:ligatures w14:val="none"/>
        </w:rPr>
        <w:footnoteReference w:customMarkFollows="1" w:id="2"/>
        <w:t>[2]</w:t>
      </w:r>
      <w:r w:rsidR="00CC6CDF" w:rsidRPr="0050766A">
        <w:rPr>
          <w:b/>
          <w:bCs/>
          <w:i/>
          <w:iCs/>
        </w:rPr>
        <w:t xml:space="preserve"> Nor is there doubt as to the importance of transparency of information to professional conduct and competency under the RICS ‘Professional Standard on Financial Viability in planning: conduct and reporting’ (2019)</w:t>
      </w:r>
      <w:r w:rsidR="00CC6CDF" w:rsidRPr="0050766A">
        <w:rPr>
          <w:b/>
          <w:bCs/>
          <w:i/>
          <w:iCs/>
          <w:vertAlign w:val="superscript"/>
          <w14:ligatures w14:val="none"/>
        </w:rPr>
        <w:footnoteReference w:customMarkFollows="1" w:id="3"/>
        <w:t>[3]</w:t>
      </w:r>
      <w:r w:rsidR="00CC6CDF" w:rsidRPr="0050766A">
        <w:rPr>
          <w:b/>
          <w:bCs/>
          <w:i/>
          <w:iCs/>
        </w:rPr>
        <w:t>; and the subsequent ‘Assessing Viability in planning under the National Planning Policy Framework 2019 for England’ (2021).</w:t>
      </w:r>
      <w:r w:rsidR="00CC6CDF" w:rsidRPr="0050766A">
        <w:rPr>
          <w:b/>
          <w:bCs/>
          <w:i/>
          <w:iCs/>
          <w:vertAlign w:val="superscript"/>
          <w14:ligatures w14:val="none"/>
        </w:rPr>
        <w:footnoteReference w:customMarkFollows="1" w:id="4"/>
        <w:t>[4]</w:t>
      </w:r>
      <w:r w:rsidR="00CC6CDF" w:rsidRPr="0050766A">
        <w:rPr>
          <w:b/>
          <w:bCs/>
          <w:i/>
          <w:iCs/>
        </w:rPr>
        <w:t xml:space="preserve"> Indeed the crucial importance of transparency has been emphasised recently by the High Court in </w:t>
      </w:r>
      <w:r w:rsidR="00CC6CDF" w:rsidRPr="0050766A">
        <w:rPr>
          <w:b/>
          <w:bCs/>
          <w:i/>
          <w:iCs/>
          <w:u w:val="single"/>
        </w:rPr>
        <w:t>R (Holborn Studios Ltd) v London Borough of Hackney (No. 2)</w:t>
      </w:r>
      <w:r w:rsidR="00CC6CDF" w:rsidRPr="0050766A">
        <w:rPr>
          <w:b/>
          <w:bCs/>
          <w:i/>
          <w:iCs/>
        </w:rPr>
        <w:t xml:space="preserve"> [2020] EWHC 1509 (Admin) at [64]-[71], per Dove J.”</w:t>
      </w:r>
    </w:p>
    <w:p w14:paraId="32962195" w14:textId="4AD7E3F6" w:rsidR="004C5967" w:rsidRPr="0050766A" w:rsidRDefault="00130BC6" w:rsidP="0050766A">
      <w:pPr>
        <w:spacing w:after="0" w:line="240" w:lineRule="auto"/>
        <w:ind w:left="360"/>
        <w:jc w:val="both"/>
        <w:rPr>
          <w:rFonts w:eastAsia="Times New Roman"/>
        </w:rPr>
      </w:pPr>
      <w:r w:rsidRPr="00C051F8">
        <w:rPr>
          <w:rFonts w:eastAsia="Times New Roman"/>
        </w:rPr>
        <w:t xml:space="preserve">A3. </w:t>
      </w:r>
      <w:r w:rsidR="00331C01" w:rsidRPr="00C051F8">
        <w:rPr>
          <w:rFonts w:eastAsia="Times New Roman"/>
        </w:rPr>
        <w:t xml:space="preserve">Please refer to the </w:t>
      </w:r>
      <w:r w:rsidR="000E2A91">
        <w:rPr>
          <w:rFonts w:eastAsia="Times New Roman"/>
        </w:rPr>
        <w:t>response</w:t>
      </w:r>
      <w:r w:rsidR="000E2A91" w:rsidRPr="00C051F8">
        <w:rPr>
          <w:rFonts w:eastAsia="Times New Roman"/>
        </w:rPr>
        <w:t xml:space="preserve"> </w:t>
      </w:r>
      <w:r w:rsidR="00331C01" w:rsidRPr="00C051F8">
        <w:rPr>
          <w:rFonts w:eastAsia="Times New Roman"/>
        </w:rPr>
        <w:t xml:space="preserve">prepared by Chris Wheaton of Quod. </w:t>
      </w:r>
      <w:r w:rsidR="004C5967" w:rsidRPr="00C051F8">
        <w:rPr>
          <w:rFonts w:eastAsia="Times New Roman"/>
        </w:rPr>
        <w:t xml:space="preserve"> </w:t>
      </w:r>
    </w:p>
    <w:p w14:paraId="517516F8" w14:textId="77777777" w:rsidR="00CC6CDF" w:rsidRPr="0050766A" w:rsidRDefault="00CC6CDF" w:rsidP="0050766A">
      <w:pPr>
        <w:spacing w:after="0" w:line="240" w:lineRule="auto"/>
        <w:ind w:left="360"/>
        <w:jc w:val="both"/>
        <w:rPr>
          <w:rFonts w:eastAsia="Times New Roman"/>
        </w:rPr>
      </w:pPr>
    </w:p>
    <w:p w14:paraId="2A163E5A" w14:textId="3CE8EF58" w:rsidR="00A46C6E" w:rsidRPr="0050766A" w:rsidRDefault="00CC6CDF" w:rsidP="00E576C4">
      <w:pPr>
        <w:ind w:left="360"/>
        <w:jc w:val="both"/>
        <w:rPr>
          <w:rFonts w:cs="Arial"/>
        </w:rPr>
      </w:pPr>
      <w:r w:rsidRPr="0050766A">
        <w:rPr>
          <w:rFonts w:eastAsia="Times New Roman"/>
        </w:rPr>
        <w:t>Q4</w:t>
      </w:r>
      <w:r w:rsidR="00605816">
        <w:rPr>
          <w:rFonts w:eastAsia="Times New Roman"/>
        </w:rPr>
        <w:t>.</w:t>
      </w:r>
      <w:r w:rsidRPr="0050766A">
        <w:rPr>
          <w:rFonts w:eastAsia="Times New Roman"/>
        </w:rPr>
        <w:t xml:space="preserve"> </w:t>
      </w:r>
      <w:r w:rsidR="004C5967" w:rsidRPr="0050766A">
        <w:rPr>
          <w:rFonts w:eastAsia="Times New Roman"/>
        </w:rPr>
        <w:t xml:space="preserve">Which modification / request covers the discharge of payment obligations in the s278 agreement, as set out in KCC’s opening statement paragraph 20. </w:t>
      </w:r>
    </w:p>
    <w:p w14:paraId="06F8505C" w14:textId="5751395F" w:rsidR="00A46C6E" w:rsidRPr="0050766A" w:rsidRDefault="00E576C4" w:rsidP="00E576C4">
      <w:pPr>
        <w:ind w:left="360"/>
        <w:jc w:val="both"/>
      </w:pPr>
      <w:r>
        <w:rPr>
          <w:rFonts w:cs="Arial"/>
        </w:rPr>
        <w:lastRenderedPageBreak/>
        <w:t>A4</w:t>
      </w:r>
      <w:r w:rsidR="00605816">
        <w:rPr>
          <w:rFonts w:cs="Arial"/>
        </w:rPr>
        <w:t xml:space="preserve">. </w:t>
      </w:r>
      <w:r w:rsidR="00A46C6E" w:rsidRPr="0050766A">
        <w:rPr>
          <w:rFonts w:cs="Arial"/>
        </w:rPr>
        <w:t>Modification 93 covers this. It states that “The Appellants apply for Schedule 18A including the Developer's Covenants under Schedule 1 to pay Pre-Contract Costs and Post-Contract Costs and any shortfalls to be discharged.</w:t>
      </w:r>
    </w:p>
    <w:p w14:paraId="44931996" w14:textId="7F2F8BB2" w:rsidR="004C5967" w:rsidRPr="0050766A" w:rsidRDefault="004C5967" w:rsidP="0050766A">
      <w:pPr>
        <w:spacing w:after="0" w:line="240" w:lineRule="auto"/>
        <w:ind w:left="720"/>
        <w:jc w:val="both"/>
        <w:rPr>
          <w:rFonts w:eastAsia="Times New Roman"/>
        </w:rPr>
      </w:pPr>
    </w:p>
    <w:p w14:paraId="5A495BC5" w14:textId="0440C8D9" w:rsidR="004C5967" w:rsidRPr="0050766A" w:rsidRDefault="00CC6CDF" w:rsidP="00E576C4">
      <w:pPr>
        <w:spacing w:after="0" w:line="240" w:lineRule="auto"/>
        <w:ind w:left="360"/>
        <w:jc w:val="both"/>
        <w:rPr>
          <w:rFonts w:eastAsia="Times New Roman"/>
        </w:rPr>
      </w:pPr>
      <w:r w:rsidRPr="0050766A">
        <w:rPr>
          <w:rFonts w:eastAsia="Times New Roman"/>
        </w:rPr>
        <w:t>Q5</w:t>
      </w:r>
      <w:r w:rsidR="00CF4E35">
        <w:rPr>
          <w:rFonts w:eastAsia="Times New Roman"/>
        </w:rPr>
        <w:t xml:space="preserve">. </w:t>
      </w:r>
      <w:r w:rsidR="004C5967" w:rsidRPr="0050766A">
        <w:rPr>
          <w:rFonts w:eastAsia="Times New Roman"/>
        </w:rPr>
        <w:t xml:space="preserve">Which round table session or cross examination session are we going to look at housing mix? </w:t>
      </w:r>
    </w:p>
    <w:p w14:paraId="28B42E26" w14:textId="77777777" w:rsidR="00580893" w:rsidRPr="0050766A" w:rsidRDefault="00580893" w:rsidP="00CF4E35">
      <w:pPr>
        <w:spacing w:after="0" w:line="240" w:lineRule="auto"/>
        <w:ind w:left="360"/>
        <w:jc w:val="both"/>
        <w:rPr>
          <w:rFonts w:eastAsia="Times New Roman"/>
        </w:rPr>
      </w:pPr>
    </w:p>
    <w:p w14:paraId="79BC649E" w14:textId="587AF84B" w:rsidR="00580893" w:rsidRPr="0050766A" w:rsidRDefault="00CF4E35" w:rsidP="00CF4E35">
      <w:pPr>
        <w:spacing w:after="0" w:line="240" w:lineRule="auto"/>
        <w:ind w:left="360"/>
        <w:jc w:val="both"/>
        <w:rPr>
          <w:rFonts w:eastAsia="Times New Roman"/>
        </w:rPr>
      </w:pPr>
      <w:r>
        <w:rPr>
          <w:rFonts w:eastAsia="Times New Roman"/>
        </w:rPr>
        <w:t xml:space="preserve">A5. </w:t>
      </w:r>
      <w:r w:rsidR="00BE6465">
        <w:rPr>
          <w:rFonts w:eastAsia="Times New Roman"/>
        </w:rPr>
        <w:t xml:space="preserve">The Appellants </w:t>
      </w:r>
      <w:r w:rsidR="00580893" w:rsidRPr="0050766A">
        <w:rPr>
          <w:rFonts w:eastAsia="Times New Roman"/>
        </w:rPr>
        <w:t>consider this should be within the planning evidence</w:t>
      </w:r>
      <w:r w:rsidR="0058363F" w:rsidRPr="0050766A">
        <w:rPr>
          <w:rFonts w:eastAsia="Times New Roman"/>
        </w:rPr>
        <w:t xml:space="preserve"> </w:t>
      </w:r>
      <w:r w:rsidR="00130BC6">
        <w:rPr>
          <w:rFonts w:eastAsia="Times New Roman"/>
        </w:rPr>
        <w:t>s</w:t>
      </w:r>
      <w:r w:rsidR="0058363F" w:rsidRPr="0050766A">
        <w:rPr>
          <w:rFonts w:eastAsia="Times New Roman"/>
        </w:rPr>
        <w:t>ession.</w:t>
      </w:r>
      <w:r w:rsidR="00C73B43">
        <w:rPr>
          <w:rFonts w:eastAsia="Times New Roman"/>
        </w:rPr>
        <w:t xml:space="preserve"> This is because the matters </w:t>
      </w:r>
      <w:r w:rsidR="00331C01">
        <w:rPr>
          <w:rFonts w:eastAsia="Times New Roman"/>
        </w:rPr>
        <w:t>that are of</w:t>
      </w:r>
      <w:r w:rsidR="00C73B43">
        <w:rPr>
          <w:rFonts w:eastAsia="Times New Roman"/>
        </w:rPr>
        <w:t xml:space="preserve"> relevance and inform housing mix are Town Planning issues, rather than Education</w:t>
      </w:r>
      <w:r w:rsidR="000E2A91">
        <w:rPr>
          <w:rFonts w:eastAsia="Times New Roman"/>
        </w:rPr>
        <w:t>-related</w:t>
      </w:r>
      <w:r w:rsidR="00C73B43">
        <w:rPr>
          <w:rFonts w:eastAsia="Times New Roman"/>
        </w:rPr>
        <w:t xml:space="preserve"> </w:t>
      </w:r>
      <w:r w:rsidR="000E2A91">
        <w:rPr>
          <w:rFonts w:eastAsia="Times New Roman"/>
        </w:rPr>
        <w:t>ones</w:t>
      </w:r>
      <w:r w:rsidR="00C73B43">
        <w:rPr>
          <w:rFonts w:eastAsia="Times New Roman"/>
        </w:rPr>
        <w:t>.</w:t>
      </w:r>
    </w:p>
    <w:p w14:paraId="02AA8490" w14:textId="77777777" w:rsidR="0058363F" w:rsidRPr="0050766A" w:rsidRDefault="0058363F" w:rsidP="00CF4E35">
      <w:pPr>
        <w:spacing w:after="0" w:line="240" w:lineRule="auto"/>
        <w:ind w:left="360"/>
        <w:jc w:val="both"/>
        <w:rPr>
          <w:rFonts w:eastAsia="Times New Roman"/>
        </w:rPr>
      </w:pPr>
    </w:p>
    <w:p w14:paraId="05395DA8" w14:textId="225A8655" w:rsidR="0058363F" w:rsidRPr="0050766A" w:rsidRDefault="0058363F" w:rsidP="00CF4E35">
      <w:pPr>
        <w:spacing w:after="0" w:line="240" w:lineRule="auto"/>
        <w:ind w:left="360"/>
        <w:jc w:val="both"/>
        <w:rPr>
          <w:rFonts w:eastAsia="Times New Roman"/>
        </w:rPr>
      </w:pPr>
      <w:r w:rsidRPr="0050766A">
        <w:rPr>
          <w:rFonts w:eastAsia="Times New Roman"/>
        </w:rPr>
        <w:t>We have prepared a short note that sets out the Appellants position</w:t>
      </w:r>
      <w:r w:rsidR="00130BC6">
        <w:rPr>
          <w:rFonts w:eastAsia="Times New Roman"/>
        </w:rPr>
        <w:t xml:space="preserve"> and this is appended.</w:t>
      </w:r>
    </w:p>
    <w:p w14:paraId="2F93DD19" w14:textId="77777777" w:rsidR="0058363F" w:rsidRPr="0050766A" w:rsidRDefault="0058363F" w:rsidP="0050766A">
      <w:pPr>
        <w:spacing w:after="0" w:line="240" w:lineRule="auto"/>
        <w:ind w:left="720"/>
        <w:jc w:val="both"/>
        <w:rPr>
          <w:rFonts w:eastAsia="Times New Roman"/>
        </w:rPr>
      </w:pPr>
    </w:p>
    <w:p w14:paraId="4B526AF5" w14:textId="632F20C8" w:rsidR="004C5967" w:rsidRPr="003E6039" w:rsidRDefault="00130BC6" w:rsidP="00130BC6">
      <w:pPr>
        <w:spacing w:after="0" w:line="240" w:lineRule="auto"/>
        <w:ind w:left="360"/>
        <w:jc w:val="both"/>
        <w:rPr>
          <w:rFonts w:eastAsia="Times New Roman"/>
        </w:rPr>
      </w:pPr>
      <w:r>
        <w:rPr>
          <w:rFonts w:eastAsia="Times New Roman"/>
        </w:rPr>
        <w:t xml:space="preserve">Q6. </w:t>
      </w:r>
      <w:r w:rsidR="004C5967" w:rsidRPr="0050766A">
        <w:rPr>
          <w:rFonts w:eastAsia="Times New Roman"/>
        </w:rPr>
        <w:t xml:space="preserve">KCC formal request for information </w:t>
      </w:r>
      <w:r w:rsidR="003E6039">
        <w:rPr>
          <w:rFonts w:eastAsia="Times New Roman"/>
        </w:rPr>
        <w:t>in respect of sales information for land parcels sold.</w:t>
      </w:r>
      <w:r w:rsidR="004C5967" w:rsidRPr="00C051F8">
        <w:rPr>
          <w:rFonts w:eastAsia="Times New Roman"/>
        </w:rPr>
        <w:t xml:space="preserve">). </w:t>
      </w:r>
    </w:p>
    <w:p w14:paraId="02863466" w14:textId="77777777" w:rsidR="00665FFC" w:rsidRPr="00C051F8" w:rsidRDefault="00665FFC" w:rsidP="00130BC6">
      <w:pPr>
        <w:spacing w:after="0" w:line="240" w:lineRule="auto"/>
        <w:ind w:left="360"/>
        <w:jc w:val="both"/>
        <w:rPr>
          <w:rFonts w:eastAsia="Times New Roman"/>
        </w:rPr>
      </w:pPr>
    </w:p>
    <w:p w14:paraId="6F20823E" w14:textId="54265F64" w:rsidR="00130BC6" w:rsidRDefault="00130BC6" w:rsidP="00130BC6">
      <w:pPr>
        <w:spacing w:after="0" w:line="240" w:lineRule="auto"/>
        <w:ind w:left="360"/>
        <w:jc w:val="both"/>
        <w:rPr>
          <w:rFonts w:eastAsia="Times New Roman"/>
        </w:rPr>
      </w:pPr>
      <w:r w:rsidRPr="00C051F8">
        <w:rPr>
          <w:rFonts w:eastAsia="Times New Roman"/>
        </w:rPr>
        <w:t>A6.</w:t>
      </w:r>
      <w:r>
        <w:rPr>
          <w:rFonts w:eastAsia="Times New Roman"/>
        </w:rPr>
        <w:t xml:space="preserve"> </w:t>
      </w:r>
      <w:r w:rsidR="003E6039">
        <w:rPr>
          <w:rFonts w:eastAsia="Times New Roman"/>
        </w:rPr>
        <w:t xml:space="preserve">Please refer to the </w:t>
      </w:r>
      <w:r w:rsidR="000E2A91">
        <w:rPr>
          <w:rFonts w:eastAsia="Times New Roman"/>
        </w:rPr>
        <w:t xml:space="preserve">response </w:t>
      </w:r>
      <w:r w:rsidR="003E6039">
        <w:rPr>
          <w:rFonts w:eastAsia="Times New Roman"/>
        </w:rPr>
        <w:t>prepared by Chris Wheaton of Quod</w:t>
      </w:r>
      <w:r w:rsidR="000E2A91">
        <w:rPr>
          <w:rFonts w:eastAsia="Times New Roman"/>
        </w:rPr>
        <w:t>, which</w:t>
      </w:r>
      <w:r w:rsidR="003E6039">
        <w:rPr>
          <w:rFonts w:eastAsia="Times New Roman"/>
        </w:rPr>
        <w:t xml:space="preserve"> addresses the relevancy of this information.</w:t>
      </w:r>
    </w:p>
    <w:p w14:paraId="7E84537C" w14:textId="77777777" w:rsidR="00130BC6" w:rsidRDefault="00130BC6" w:rsidP="00130BC6">
      <w:pPr>
        <w:spacing w:after="0" w:line="240" w:lineRule="auto"/>
        <w:ind w:left="360"/>
        <w:jc w:val="both"/>
        <w:rPr>
          <w:rFonts w:eastAsia="Times New Roman"/>
        </w:rPr>
      </w:pPr>
    </w:p>
    <w:p w14:paraId="33DE2367" w14:textId="229CE1CF" w:rsidR="004C5967" w:rsidRDefault="00130BC6" w:rsidP="00130BC6">
      <w:pPr>
        <w:spacing w:after="0" w:line="240" w:lineRule="auto"/>
        <w:ind w:left="360"/>
        <w:jc w:val="both"/>
        <w:rPr>
          <w:rFonts w:eastAsia="Times New Roman"/>
        </w:rPr>
      </w:pPr>
      <w:r>
        <w:rPr>
          <w:rFonts w:eastAsia="Times New Roman"/>
        </w:rPr>
        <w:t xml:space="preserve">Q7. </w:t>
      </w:r>
      <w:r w:rsidR="004C5967" w:rsidRPr="0050766A">
        <w:rPr>
          <w:rFonts w:eastAsia="Times New Roman"/>
        </w:rPr>
        <w:t xml:space="preserve">Confirm the current number of dwellings in occupation at Chilmington Green. </w:t>
      </w:r>
    </w:p>
    <w:p w14:paraId="51E5CF95" w14:textId="77777777" w:rsidR="00130BC6" w:rsidRDefault="00130BC6" w:rsidP="00130BC6">
      <w:pPr>
        <w:spacing w:after="0" w:line="240" w:lineRule="auto"/>
        <w:ind w:left="360"/>
        <w:jc w:val="both"/>
        <w:rPr>
          <w:rFonts w:eastAsia="Times New Roman"/>
        </w:rPr>
      </w:pPr>
    </w:p>
    <w:p w14:paraId="626FF89C" w14:textId="5B0C511C" w:rsidR="005D4943" w:rsidRPr="00C051F8" w:rsidRDefault="00130BC6" w:rsidP="00FE2C04">
      <w:pPr>
        <w:spacing w:after="0" w:line="240" w:lineRule="auto"/>
        <w:ind w:left="360"/>
        <w:jc w:val="both"/>
        <w:rPr>
          <w:rFonts w:eastAsia="Times New Roman"/>
        </w:rPr>
      </w:pPr>
      <w:r>
        <w:rPr>
          <w:rFonts w:eastAsia="Times New Roman"/>
        </w:rPr>
        <w:t xml:space="preserve">A7.   </w:t>
      </w:r>
      <w:r w:rsidR="00F767EB">
        <w:rPr>
          <w:rFonts w:eastAsia="Times New Roman"/>
        </w:rPr>
        <w:t>There are currently</w:t>
      </w:r>
      <w:r w:rsidR="005D4943">
        <w:rPr>
          <w:rFonts w:eastAsia="Times New Roman"/>
        </w:rPr>
        <w:t xml:space="preserve"> 3</w:t>
      </w:r>
      <w:r w:rsidR="00FE2C04">
        <w:rPr>
          <w:rFonts w:eastAsia="Times New Roman"/>
        </w:rPr>
        <w:t>76</w:t>
      </w:r>
      <w:r w:rsidR="005D4943">
        <w:rPr>
          <w:rFonts w:eastAsia="Times New Roman"/>
        </w:rPr>
        <w:t xml:space="preserve"> dwellings in occupation at Chilmington Green. </w:t>
      </w:r>
    </w:p>
    <w:p w14:paraId="704D262C" w14:textId="77777777" w:rsidR="004C5967" w:rsidRPr="0050766A" w:rsidRDefault="004C5967" w:rsidP="0050766A">
      <w:pPr>
        <w:jc w:val="both"/>
        <w:rPr>
          <w:rFonts w:cs="Arial"/>
          <w:shd w:val="clear" w:color="auto" w:fill="FFFFFF"/>
        </w:rPr>
      </w:pPr>
    </w:p>
    <w:p w14:paraId="51F098D0" w14:textId="77777777" w:rsidR="004C5967" w:rsidRPr="0050766A" w:rsidRDefault="004C5967" w:rsidP="0050766A">
      <w:pPr>
        <w:jc w:val="both"/>
        <w:rPr>
          <w:rFonts w:cs="Arial"/>
          <w:shd w:val="clear" w:color="auto" w:fill="FFFFFF"/>
        </w:rPr>
      </w:pPr>
    </w:p>
    <w:p w14:paraId="09B914C7" w14:textId="77777777" w:rsidR="00AC4E83" w:rsidRPr="0050766A" w:rsidRDefault="00AC4E83" w:rsidP="0050766A">
      <w:pPr>
        <w:jc w:val="both"/>
      </w:pPr>
    </w:p>
    <w:sectPr w:rsidR="00AC4E83" w:rsidRPr="0050766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07F1" w14:textId="77777777" w:rsidR="00DF6D6A" w:rsidRDefault="00DF6D6A" w:rsidP="00AC4E83">
      <w:pPr>
        <w:spacing w:after="0" w:line="240" w:lineRule="auto"/>
      </w:pPr>
      <w:r>
        <w:separator/>
      </w:r>
    </w:p>
  </w:endnote>
  <w:endnote w:type="continuationSeparator" w:id="0">
    <w:p w14:paraId="0D08CCEB" w14:textId="77777777" w:rsidR="00DF6D6A" w:rsidRDefault="00DF6D6A" w:rsidP="00AC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ven Pro">
    <w:altName w:val="Calibri"/>
    <w:charset w:val="00"/>
    <w:family w:val="auto"/>
    <w:pitch w:val="variable"/>
    <w:sig w:usb0="A00000FF" w:usb1="5000205B" w:usb2="00000000" w:usb3="00000000" w:csb0="000001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47CE" w14:textId="77777777" w:rsidR="002B1CD5" w:rsidRDefault="002B1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C275" w14:textId="77777777" w:rsidR="002B1CD5" w:rsidRDefault="002B1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E60F" w14:textId="77777777" w:rsidR="002B1CD5" w:rsidRDefault="002B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86AD" w14:textId="77777777" w:rsidR="00DF6D6A" w:rsidRDefault="00DF6D6A" w:rsidP="00AC4E83">
      <w:pPr>
        <w:spacing w:after="0" w:line="240" w:lineRule="auto"/>
      </w:pPr>
      <w:r>
        <w:separator/>
      </w:r>
    </w:p>
  </w:footnote>
  <w:footnote w:type="continuationSeparator" w:id="0">
    <w:p w14:paraId="47107E12" w14:textId="77777777" w:rsidR="00DF6D6A" w:rsidRDefault="00DF6D6A" w:rsidP="00AC4E83">
      <w:pPr>
        <w:spacing w:after="0" w:line="240" w:lineRule="auto"/>
      </w:pPr>
      <w:r>
        <w:continuationSeparator/>
      </w:r>
    </w:p>
  </w:footnote>
  <w:footnote w:id="1">
    <w:p w14:paraId="16786D4B" w14:textId="77777777" w:rsidR="00CC6CDF" w:rsidRDefault="00CC6CDF" w:rsidP="00CC6CDF">
      <w:pPr>
        <w:pStyle w:val="FootnoteText"/>
        <w:jc w:val="both"/>
        <w:rPr>
          <w:rFonts w:ascii="Arial" w:hAnsi="Arial" w:cs="Arial"/>
        </w:rPr>
      </w:pPr>
      <w:r>
        <w:rPr>
          <w:rStyle w:val="FootnoteReference"/>
          <w:rFonts w:ascii="Arial" w:hAnsi="Arial" w:cs="Arial"/>
        </w:rPr>
        <w:t>[1]</w:t>
      </w:r>
      <w:r>
        <w:rPr>
          <w:rFonts w:ascii="Arial" w:hAnsi="Arial" w:cs="Arial"/>
        </w:rPr>
        <w:t xml:space="preserve"> Paragraph 10-010-20180724.</w:t>
      </w:r>
    </w:p>
  </w:footnote>
  <w:footnote w:id="2">
    <w:p w14:paraId="25058F58" w14:textId="77777777" w:rsidR="00CC6CDF" w:rsidRDefault="00CC6CDF" w:rsidP="00CC6CDF">
      <w:pPr>
        <w:pStyle w:val="FootnoteText"/>
        <w:jc w:val="both"/>
        <w:rPr>
          <w:rFonts w:ascii="Arial" w:hAnsi="Arial" w:cs="Arial"/>
        </w:rPr>
      </w:pPr>
      <w:r>
        <w:rPr>
          <w:rStyle w:val="FootnoteReference"/>
          <w:rFonts w:ascii="Arial" w:hAnsi="Arial" w:cs="Arial"/>
        </w:rPr>
        <w:t>[2]</w:t>
      </w:r>
      <w:r>
        <w:rPr>
          <w:rFonts w:ascii="Arial" w:hAnsi="Arial" w:cs="Arial"/>
        </w:rPr>
        <w:t xml:space="preserve"> Paragraph 10-008-20190509.</w:t>
      </w:r>
    </w:p>
  </w:footnote>
  <w:footnote w:id="3">
    <w:p w14:paraId="6158E62D" w14:textId="77777777" w:rsidR="00CC6CDF" w:rsidRDefault="00CC6CDF" w:rsidP="00CC6CDF">
      <w:pPr>
        <w:pStyle w:val="FootnoteText"/>
        <w:jc w:val="both"/>
        <w:rPr>
          <w:rFonts w:ascii="Arial" w:hAnsi="Arial" w:cs="Arial"/>
        </w:rPr>
      </w:pPr>
      <w:r>
        <w:rPr>
          <w:rStyle w:val="FootnoteReference"/>
          <w:rFonts w:ascii="Arial" w:hAnsi="Arial" w:cs="Arial"/>
        </w:rPr>
        <w:t>[3]</w:t>
      </w:r>
      <w:r>
        <w:rPr>
          <w:rFonts w:ascii="Arial" w:hAnsi="Arial" w:cs="Arial"/>
        </w:rPr>
        <w:t xml:space="preserve"> Paragraphs 1.2, 2.4, 2.10, section 4.</w:t>
      </w:r>
    </w:p>
  </w:footnote>
  <w:footnote w:id="4">
    <w:p w14:paraId="2A8349EE" w14:textId="77777777" w:rsidR="00CC6CDF" w:rsidRDefault="00CC6CDF" w:rsidP="00CC6CDF">
      <w:pPr>
        <w:pStyle w:val="FootnoteText"/>
        <w:jc w:val="both"/>
        <w:rPr>
          <w:rFonts w:ascii="Arial" w:hAnsi="Arial" w:cs="Arial"/>
        </w:rPr>
      </w:pPr>
      <w:r>
        <w:rPr>
          <w:rStyle w:val="FootnoteReference"/>
          <w:rFonts w:ascii="Arial" w:hAnsi="Arial" w:cs="Arial"/>
        </w:rPr>
        <w:t>[4]</w:t>
      </w:r>
      <w:r>
        <w:rPr>
          <w:rFonts w:ascii="Arial" w:hAnsi="Arial" w:cs="Arial"/>
        </w:rPr>
        <w:t xml:space="preserve"> Paragraphs 1.2.12, 2.5, 3.4.12, A1.1.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E179" w14:textId="77777777" w:rsidR="002B1CD5" w:rsidRDefault="002B1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316F" w14:textId="77777777" w:rsidR="002B1CD5" w:rsidRDefault="002B1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BDE1" w14:textId="77777777" w:rsidR="002B1CD5" w:rsidRDefault="002B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1321"/>
    <w:multiLevelType w:val="hybridMultilevel"/>
    <w:tmpl w:val="48821B4E"/>
    <w:lvl w:ilvl="0" w:tplc="D5386DF0">
      <w:start w:val="1"/>
      <w:numFmt w:val="decimal"/>
      <w:lvlText w:val="%1)"/>
      <w:lvlJc w:val="left"/>
      <w:pPr>
        <w:ind w:left="720" w:hanging="360"/>
      </w:pPr>
      <w:rPr>
        <w:rFonts w:ascii="Aptos" w:eastAsia="Aptos" w:hAnsi="Apto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C55DBB"/>
    <w:multiLevelType w:val="hybridMultilevel"/>
    <w:tmpl w:val="3670E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B76009"/>
    <w:multiLevelType w:val="hybridMultilevel"/>
    <w:tmpl w:val="F4C01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52553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6056940">
    <w:abstractNumId w:val="1"/>
  </w:num>
  <w:num w:numId="3" w16cid:durableId="1166365711">
    <w:abstractNumId w:val="0"/>
  </w:num>
  <w:num w:numId="4" w16cid:durableId="15639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5F"/>
    <w:rsid w:val="00091C6E"/>
    <w:rsid w:val="000C7840"/>
    <w:rsid w:val="000E2A91"/>
    <w:rsid w:val="00130BC6"/>
    <w:rsid w:val="001A137C"/>
    <w:rsid w:val="001C21DC"/>
    <w:rsid w:val="0029678D"/>
    <w:rsid w:val="002B1CD5"/>
    <w:rsid w:val="00331C01"/>
    <w:rsid w:val="00365B12"/>
    <w:rsid w:val="0038175F"/>
    <w:rsid w:val="0039358E"/>
    <w:rsid w:val="003B5548"/>
    <w:rsid w:val="003C498E"/>
    <w:rsid w:val="003E6039"/>
    <w:rsid w:val="004C5967"/>
    <w:rsid w:val="0050766A"/>
    <w:rsid w:val="00580893"/>
    <w:rsid w:val="0058363F"/>
    <w:rsid w:val="005D4943"/>
    <w:rsid w:val="00602EE7"/>
    <w:rsid w:val="00605816"/>
    <w:rsid w:val="00665FFC"/>
    <w:rsid w:val="00687EB6"/>
    <w:rsid w:val="00691CBA"/>
    <w:rsid w:val="00767309"/>
    <w:rsid w:val="007841F4"/>
    <w:rsid w:val="00845A7A"/>
    <w:rsid w:val="00895DB5"/>
    <w:rsid w:val="00917A1A"/>
    <w:rsid w:val="00943E53"/>
    <w:rsid w:val="009A7963"/>
    <w:rsid w:val="009C2B8F"/>
    <w:rsid w:val="009D37D3"/>
    <w:rsid w:val="00A24881"/>
    <w:rsid w:val="00A27629"/>
    <w:rsid w:val="00A46C6E"/>
    <w:rsid w:val="00A647CD"/>
    <w:rsid w:val="00AC4E83"/>
    <w:rsid w:val="00B501B7"/>
    <w:rsid w:val="00BA3231"/>
    <w:rsid w:val="00BB622A"/>
    <w:rsid w:val="00BE6465"/>
    <w:rsid w:val="00C051F8"/>
    <w:rsid w:val="00C65B61"/>
    <w:rsid w:val="00C73B43"/>
    <w:rsid w:val="00CB4F6B"/>
    <w:rsid w:val="00CC6CDF"/>
    <w:rsid w:val="00CF4E35"/>
    <w:rsid w:val="00DF6D6A"/>
    <w:rsid w:val="00E576C4"/>
    <w:rsid w:val="00F15D73"/>
    <w:rsid w:val="00F767EB"/>
    <w:rsid w:val="00FC4B1B"/>
    <w:rsid w:val="00FE2C04"/>
    <w:rsid w:val="00FE6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E252"/>
  <w15:chartTrackingRefBased/>
  <w15:docId w15:val="{04C5AE24-74C7-40E0-9345-E1747745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ven Pro" w:eastAsiaTheme="minorHAnsi" w:hAnsi="Maven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7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7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817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817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817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817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817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7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7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817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817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17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17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17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1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7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7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175F"/>
    <w:pPr>
      <w:spacing w:before="160"/>
      <w:jc w:val="center"/>
    </w:pPr>
    <w:rPr>
      <w:i/>
      <w:iCs/>
      <w:color w:val="404040" w:themeColor="text1" w:themeTint="BF"/>
    </w:rPr>
  </w:style>
  <w:style w:type="character" w:customStyle="1" w:styleId="QuoteChar">
    <w:name w:val="Quote Char"/>
    <w:basedOn w:val="DefaultParagraphFont"/>
    <w:link w:val="Quote"/>
    <w:uiPriority w:val="29"/>
    <w:rsid w:val="0038175F"/>
    <w:rPr>
      <w:i/>
      <w:iCs/>
      <w:color w:val="404040" w:themeColor="text1" w:themeTint="BF"/>
    </w:rPr>
  </w:style>
  <w:style w:type="paragraph" w:styleId="ListParagraph">
    <w:name w:val="List Paragraph"/>
    <w:basedOn w:val="Normal"/>
    <w:uiPriority w:val="34"/>
    <w:qFormat/>
    <w:rsid w:val="0038175F"/>
    <w:pPr>
      <w:ind w:left="720"/>
      <w:contextualSpacing/>
    </w:pPr>
  </w:style>
  <w:style w:type="character" w:styleId="IntenseEmphasis">
    <w:name w:val="Intense Emphasis"/>
    <w:basedOn w:val="DefaultParagraphFont"/>
    <w:uiPriority w:val="21"/>
    <w:qFormat/>
    <w:rsid w:val="0038175F"/>
    <w:rPr>
      <w:i/>
      <w:iCs/>
      <w:color w:val="0F4761" w:themeColor="accent1" w:themeShade="BF"/>
    </w:rPr>
  </w:style>
  <w:style w:type="paragraph" w:styleId="IntenseQuote">
    <w:name w:val="Intense Quote"/>
    <w:basedOn w:val="Normal"/>
    <w:next w:val="Normal"/>
    <w:link w:val="IntenseQuoteChar"/>
    <w:uiPriority w:val="30"/>
    <w:qFormat/>
    <w:rsid w:val="00381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75F"/>
    <w:rPr>
      <w:i/>
      <w:iCs/>
      <w:color w:val="0F4761" w:themeColor="accent1" w:themeShade="BF"/>
    </w:rPr>
  </w:style>
  <w:style w:type="character" w:styleId="IntenseReference">
    <w:name w:val="Intense Reference"/>
    <w:basedOn w:val="DefaultParagraphFont"/>
    <w:uiPriority w:val="32"/>
    <w:qFormat/>
    <w:rsid w:val="0038175F"/>
    <w:rPr>
      <w:b/>
      <w:bCs/>
      <w:smallCaps/>
      <w:color w:val="0F4761" w:themeColor="accent1" w:themeShade="BF"/>
      <w:spacing w:val="5"/>
    </w:rPr>
  </w:style>
  <w:style w:type="paragraph" w:styleId="FootnoteText">
    <w:name w:val="footnote text"/>
    <w:basedOn w:val="Normal"/>
    <w:link w:val="FootnoteTextChar"/>
    <w:uiPriority w:val="99"/>
    <w:semiHidden/>
    <w:unhideWhenUsed/>
    <w:rsid w:val="00AC4E83"/>
    <w:pPr>
      <w:spacing w:after="0" w:line="240" w:lineRule="auto"/>
    </w:pPr>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C4E83"/>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C4E83"/>
    <w:rPr>
      <w:vertAlign w:val="superscript"/>
    </w:rPr>
  </w:style>
  <w:style w:type="character" w:styleId="CommentReference">
    <w:name w:val="annotation reference"/>
    <w:basedOn w:val="DefaultParagraphFont"/>
    <w:uiPriority w:val="99"/>
    <w:semiHidden/>
    <w:unhideWhenUsed/>
    <w:rsid w:val="00C73B43"/>
    <w:rPr>
      <w:sz w:val="16"/>
      <w:szCs w:val="16"/>
    </w:rPr>
  </w:style>
  <w:style w:type="paragraph" w:styleId="CommentText">
    <w:name w:val="annotation text"/>
    <w:basedOn w:val="Normal"/>
    <w:link w:val="CommentTextChar"/>
    <w:uiPriority w:val="99"/>
    <w:unhideWhenUsed/>
    <w:rsid w:val="00C73B43"/>
    <w:pPr>
      <w:spacing w:line="240" w:lineRule="auto"/>
    </w:pPr>
    <w:rPr>
      <w:sz w:val="20"/>
      <w:szCs w:val="20"/>
    </w:rPr>
  </w:style>
  <w:style w:type="character" w:customStyle="1" w:styleId="CommentTextChar">
    <w:name w:val="Comment Text Char"/>
    <w:basedOn w:val="DefaultParagraphFont"/>
    <w:link w:val="CommentText"/>
    <w:uiPriority w:val="99"/>
    <w:rsid w:val="00C73B43"/>
    <w:rPr>
      <w:sz w:val="20"/>
      <w:szCs w:val="20"/>
    </w:rPr>
  </w:style>
  <w:style w:type="paragraph" w:styleId="CommentSubject">
    <w:name w:val="annotation subject"/>
    <w:basedOn w:val="CommentText"/>
    <w:next w:val="CommentText"/>
    <w:link w:val="CommentSubjectChar"/>
    <w:uiPriority w:val="99"/>
    <w:semiHidden/>
    <w:unhideWhenUsed/>
    <w:rsid w:val="00C73B43"/>
    <w:rPr>
      <w:b/>
      <w:bCs/>
    </w:rPr>
  </w:style>
  <w:style w:type="character" w:customStyle="1" w:styleId="CommentSubjectChar">
    <w:name w:val="Comment Subject Char"/>
    <w:basedOn w:val="CommentTextChar"/>
    <w:link w:val="CommentSubject"/>
    <w:uiPriority w:val="99"/>
    <w:semiHidden/>
    <w:rsid w:val="00C73B43"/>
    <w:rPr>
      <w:b/>
      <w:bCs/>
      <w:sz w:val="20"/>
      <w:szCs w:val="20"/>
    </w:rPr>
  </w:style>
  <w:style w:type="paragraph" w:styleId="Revision">
    <w:name w:val="Revision"/>
    <w:hidden/>
    <w:uiPriority w:val="99"/>
    <w:semiHidden/>
    <w:rsid w:val="00C73B43"/>
    <w:pPr>
      <w:spacing w:after="0" w:line="240" w:lineRule="auto"/>
    </w:pPr>
  </w:style>
  <w:style w:type="paragraph" w:styleId="Header">
    <w:name w:val="header"/>
    <w:basedOn w:val="Normal"/>
    <w:link w:val="HeaderChar"/>
    <w:uiPriority w:val="99"/>
    <w:unhideWhenUsed/>
    <w:rsid w:val="002B1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CD5"/>
  </w:style>
  <w:style w:type="paragraph" w:styleId="Footer">
    <w:name w:val="footer"/>
    <w:basedOn w:val="Normal"/>
    <w:link w:val="FooterChar"/>
    <w:uiPriority w:val="99"/>
    <w:unhideWhenUsed/>
    <w:rsid w:val="002B1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0324">
      <w:bodyDiv w:val="1"/>
      <w:marLeft w:val="0"/>
      <w:marRight w:val="0"/>
      <w:marTop w:val="0"/>
      <w:marBottom w:val="0"/>
      <w:divBdr>
        <w:top w:val="none" w:sz="0" w:space="0" w:color="auto"/>
        <w:left w:val="none" w:sz="0" w:space="0" w:color="auto"/>
        <w:bottom w:val="none" w:sz="0" w:space="0" w:color="auto"/>
        <w:right w:val="none" w:sz="0" w:space="0" w:color="auto"/>
      </w:divBdr>
    </w:div>
    <w:div w:id="729037375">
      <w:bodyDiv w:val="1"/>
      <w:marLeft w:val="0"/>
      <w:marRight w:val="0"/>
      <w:marTop w:val="0"/>
      <w:marBottom w:val="0"/>
      <w:divBdr>
        <w:top w:val="none" w:sz="0" w:space="0" w:color="auto"/>
        <w:left w:val="none" w:sz="0" w:space="0" w:color="auto"/>
        <w:bottom w:val="none" w:sz="0" w:space="0" w:color="auto"/>
        <w:right w:val="none" w:sz="0" w:space="0" w:color="auto"/>
      </w:divBdr>
    </w:div>
    <w:div w:id="959606130">
      <w:bodyDiv w:val="1"/>
      <w:marLeft w:val="0"/>
      <w:marRight w:val="0"/>
      <w:marTop w:val="0"/>
      <w:marBottom w:val="0"/>
      <w:divBdr>
        <w:top w:val="none" w:sz="0" w:space="0" w:color="auto"/>
        <w:left w:val="none" w:sz="0" w:space="0" w:color="auto"/>
        <w:bottom w:val="none" w:sz="0" w:space="0" w:color="auto"/>
        <w:right w:val="none" w:sz="0" w:space="0" w:color="auto"/>
      </w:divBdr>
    </w:div>
    <w:div w:id="13781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 I M A N _ N R ! 3 7 0 6 1 0 2 4 . 1 < / d o c u m e n t i d >  
     < s e n d e r i d > M H A R N E T T < / s e n d e r i d >  
     < s e n d e r e m a i l > M H A R N E T T @ F L A D G A T E . C O M < / s e n d e r e m a i l >  
     < l a s t m o d i f i e d > 2 0 2 5 - 0 3 - 2 5 T 1 3 : 1 1 : 0 0 . 0 0 0 0 0 0 0 + 0 0 : 0 0 < / l a s t m o d i f i e d >  
     < d a t a b a s e > I M A N _ N R < / d a t a b a s e >  
 < / p r o p e r t i e s > 
</file>

<file path=customXml/itemProps1.xml><?xml version="1.0" encoding="utf-8"?>
<ds:datastoreItem xmlns:ds="http://schemas.openxmlformats.org/officeDocument/2006/customXml" ds:itemID="{64E85EDB-9F72-4104-B147-FCEDCF70708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Collins</dc:creator>
  <cp:keywords>MSH\28497\0042\37061024v1\MSH</cp:keywords>
  <dc:description>MSH\37061024v1</dc:description>
  <cp:lastModifiedBy>Alec Arrol</cp:lastModifiedBy>
  <cp:revision>5</cp:revision>
  <dcterms:created xsi:type="dcterms:W3CDTF">2025-03-28T17:04:00Z</dcterms:created>
  <dcterms:modified xsi:type="dcterms:W3CDTF">2025-03-28T17:06:00Z</dcterms:modified>
  <cp:category>37061024v1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ame">
    <vt:lpwstr>Hodson Developments (Ashford) Limited</vt:lpwstr>
  </property>
  <property fmtid="{D5CDD505-2E9C-101B-9397-08002B2CF9AE}" pid="3" name="MatterName">
    <vt:lpwstr>Section 106A applications</vt:lpwstr>
  </property>
  <property fmtid="{D5CDD505-2E9C-101B-9397-08002B2CF9AE}" pid="4" name="DocVersion">
    <vt:lpwstr>1</vt:lpwstr>
  </property>
  <property fmtid="{D5CDD505-2E9C-101B-9397-08002B2CF9AE}" pid="5" name="DocNo">
    <vt:lpwstr>37061024</vt:lpwstr>
  </property>
  <property fmtid="{D5CDD505-2E9C-101B-9397-08002B2CF9AE}" pid="6" name="Author">
    <vt:lpwstr>MHARNETT</vt:lpwstr>
  </property>
  <property fmtid="{D5CDD505-2E9C-101B-9397-08002B2CF9AE}" pid="7" name="ClientID">
    <vt:lpwstr>28497</vt:lpwstr>
  </property>
  <property fmtid="{D5CDD505-2E9C-101B-9397-08002B2CF9AE}" pid="8" name="MatterID">
    <vt:lpwstr>0042</vt:lpwstr>
  </property>
  <property fmtid="{D5CDD505-2E9C-101B-9397-08002B2CF9AE}" pid="9" name="TypistName">
    <vt:lpwstr>Mark Harnett</vt:lpwstr>
  </property>
  <property fmtid="{D5CDD505-2E9C-101B-9397-08002B2CF9AE}" pid="10" name="DocMaster">
    <vt:lpwstr>False</vt:lpwstr>
  </property>
  <property fmtid="{D5CDD505-2E9C-101B-9397-08002B2CF9AE}" pid="11" name="AuthorName">
    <vt:lpwstr>Mark Harnett</vt:lpwstr>
  </property>
  <property fmtid="{D5CDD505-2E9C-101B-9397-08002B2CF9AE}" pid="12" name="FileNo">
    <vt:lpwstr>28497\0042</vt:lpwstr>
  </property>
  <property fmtid="{D5CDD505-2E9C-101B-9397-08002B2CF9AE}" pid="13" name="TypistInits">
    <vt:lpwstr>MSH</vt:lpwstr>
  </property>
  <property fmtid="{D5CDD505-2E9C-101B-9397-08002B2CF9AE}" pid="14" name="Email">
    <vt:lpwstr>mharnett@fladgate.com</vt:lpwstr>
  </property>
  <property fmtid="{D5CDD505-2E9C-101B-9397-08002B2CF9AE}" pid="15" name="AuthorInits">
    <vt:lpwstr>MSH</vt:lpwstr>
  </property>
  <property fmtid="{D5CDD505-2E9C-101B-9397-08002B2CF9AE}" pid="16" name="Extension">
    <vt:lpwstr>+44 (0)20 3036 7248</vt:lpwstr>
  </property>
  <property fmtid="{D5CDD505-2E9C-101B-9397-08002B2CF9AE}" pid="17" name="JobDesc">
    <vt:lpwstr>Partner</vt:lpwstr>
  </property>
  <property fmtid="{D5CDD505-2E9C-101B-9397-08002B2CF9AE}" pid="18" name="Fax">
    <vt:lpwstr>+44 (0)20 3036 7748</vt:lpwstr>
  </property>
  <property fmtid="{D5CDD505-2E9C-101B-9397-08002B2CF9AE}" pid="19" name="FooterReference">
    <vt:lpwstr>MSH\28497\0042\37061024v1\MSH</vt:lpwstr>
  </property>
  <property fmtid="{D5CDD505-2E9C-101B-9397-08002B2CF9AE}" pid="20" name="OtherReference">
    <vt:lpwstr>MSH\37061024v1</vt:lpwstr>
  </property>
</Properties>
</file>